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7A51D" w14:textId="0434A7AE" w:rsidR="00F221F6" w:rsidRPr="00E15917" w:rsidRDefault="00E15917" w:rsidP="00E15917">
      <w:pPr>
        <w:pStyle w:val="NoSpacing"/>
        <w:jc w:val="center"/>
        <w:rPr>
          <w:b/>
          <w:sz w:val="44"/>
          <w:szCs w:val="44"/>
          <w:u w:val="single"/>
        </w:rPr>
      </w:pPr>
      <w:r w:rsidRPr="00E15917">
        <w:rPr>
          <w:b/>
          <w:sz w:val="44"/>
          <w:szCs w:val="44"/>
          <w:u w:val="single"/>
        </w:rPr>
        <w:t>pn Junction</w:t>
      </w:r>
      <w:r w:rsidR="000D1594">
        <w:rPr>
          <w:b/>
          <w:sz w:val="44"/>
          <w:szCs w:val="44"/>
          <w:u w:val="single"/>
        </w:rPr>
        <w:t xml:space="preserve"> Excitations</w:t>
      </w:r>
    </w:p>
    <w:p w14:paraId="333CE288" w14:textId="5C1BB8F1" w:rsidR="00E15917" w:rsidRDefault="00E15917" w:rsidP="00E15917">
      <w:pPr>
        <w:pStyle w:val="NoSpacing"/>
      </w:pPr>
    </w:p>
    <w:p w14:paraId="2E92E99E" w14:textId="38CEBEBB" w:rsidR="00647FCF" w:rsidRDefault="00647FCF" w:rsidP="00B122F0">
      <w:pPr>
        <w:pStyle w:val="NoSpacing"/>
        <w:tabs>
          <w:tab w:val="left" w:pos="5950"/>
        </w:tabs>
      </w:pPr>
    </w:p>
    <w:p w14:paraId="3D428CAB" w14:textId="19C6F772" w:rsidR="00E15917" w:rsidRPr="00771324" w:rsidRDefault="00647FCF" w:rsidP="00E15917">
      <w:pPr>
        <w:pStyle w:val="NoSpacing"/>
      </w:pPr>
      <w:r>
        <w:t xml:space="preserve">We’re going to consider the p-n junction.  </w:t>
      </w:r>
      <w:bookmarkStart w:id="0" w:name="_Hlk131414538"/>
      <w:r w:rsidR="00851094">
        <w:t xml:space="preserve">For point of reference, it’s useful to have the following values in mind, for Si, say, which </w:t>
      </w:r>
      <w:r w:rsidR="00A22137">
        <w:t>could</w:t>
      </w:r>
      <w:r w:rsidR="00851094">
        <w:t xml:space="preserve"> be doped with Al, or P, to make it a p-type or n-type semiconductor.  </w:t>
      </w:r>
    </w:p>
    <w:p w14:paraId="59AE41AA" w14:textId="0D1A0342" w:rsidR="00851094" w:rsidRDefault="00851094" w:rsidP="00E15917">
      <w:pPr>
        <w:pStyle w:val="NoSpacing"/>
      </w:pPr>
      <w:bookmarkStart w:id="1" w:name="_Hlk131414486"/>
    </w:p>
    <w:p w14:paraId="39FBAF0D" w14:textId="335958B7" w:rsidR="00851094" w:rsidRDefault="00921530" w:rsidP="00E15917">
      <w:pPr>
        <w:pStyle w:val="NoSpacing"/>
      </w:pPr>
      <w:r w:rsidRPr="00B039CC">
        <w:rPr>
          <w:position w:val="-152"/>
        </w:rPr>
        <w:object w:dxaOrig="8820" w:dyaOrig="3180" w14:anchorId="0E56F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25pt;height:159.25pt" o:ole="">
            <v:imagedata r:id="rId5" o:title=""/>
          </v:shape>
          <o:OLEObject Type="Embed" ProgID="Equation.DSMT4" ShapeID="_x0000_i1025" DrawAspect="Content" ObjectID="_1743754648" r:id="rId6"/>
        </w:object>
      </w:r>
    </w:p>
    <w:p w14:paraId="5A3EBB14" w14:textId="339BD37F" w:rsidR="00921530" w:rsidRDefault="00921530" w:rsidP="00E15917">
      <w:pPr>
        <w:pStyle w:val="NoSpacing"/>
      </w:pPr>
    </w:p>
    <w:p w14:paraId="594A8A7A" w14:textId="1AE58C05" w:rsidR="00921530" w:rsidRDefault="00921530" w:rsidP="00E15917">
      <w:pPr>
        <w:pStyle w:val="NoSpacing"/>
      </w:pPr>
      <w:r>
        <w:t xml:space="preserve">In the last line we’re assuming </w:t>
      </w:r>
      <w:r>
        <w:rPr>
          <w:rFonts w:ascii="Calibri" w:hAnsi="Calibri" w:cs="Calibri"/>
        </w:rPr>
        <w:t>Δ</w:t>
      </w:r>
      <w:r>
        <w:t>N = N</w:t>
      </w:r>
      <w:r>
        <w:rPr>
          <w:vertAlign w:val="subscript"/>
        </w:rPr>
        <w:t>d</w:t>
      </w:r>
      <w:r>
        <w:t xml:space="preserve"> or </w:t>
      </w:r>
      <w:r>
        <w:rPr>
          <w:rFonts w:ascii="Calibri" w:hAnsi="Calibri" w:cs="Calibri"/>
        </w:rPr>
        <w:t>Δ</w:t>
      </w:r>
      <w:r>
        <w:t>N = N</w:t>
      </w:r>
      <w:r>
        <w:rPr>
          <w:vertAlign w:val="subscript"/>
        </w:rPr>
        <w:t>a</w:t>
      </w:r>
      <w:r>
        <w:t>, i.e., that the p or n type semiconductor is basically a pure p or n type, and also keep in mind these rough energy scales,</w:t>
      </w:r>
    </w:p>
    <w:p w14:paraId="4762165E" w14:textId="19010059" w:rsidR="00921530" w:rsidRDefault="00921530" w:rsidP="00E15917">
      <w:pPr>
        <w:pStyle w:val="NoSpacing"/>
      </w:pPr>
    </w:p>
    <w:p w14:paraId="567714E5" w14:textId="5C290D77" w:rsidR="00921530" w:rsidRDefault="00921530" w:rsidP="00E15917">
      <w:pPr>
        <w:pStyle w:val="NoSpacing"/>
      </w:pPr>
      <w:r w:rsidRPr="00921530">
        <w:rPr>
          <w:position w:val="-82"/>
        </w:rPr>
        <w:object w:dxaOrig="6360" w:dyaOrig="1760" w14:anchorId="316988BB">
          <v:shape id="_x0000_i1026" type="#_x0000_t75" style="width:317.45pt;height:87.8pt" o:ole="">
            <v:imagedata r:id="rId7" o:title=""/>
          </v:shape>
          <o:OLEObject Type="Embed" ProgID="Equation.DSMT4" ShapeID="_x0000_i1026" DrawAspect="Content" ObjectID="_1743754649" r:id="rId8"/>
        </w:object>
      </w:r>
    </w:p>
    <w:bookmarkEnd w:id="0"/>
    <w:bookmarkEnd w:id="1"/>
    <w:p w14:paraId="193CBA17" w14:textId="2BF2268E" w:rsidR="00647FCF" w:rsidRDefault="00647FCF" w:rsidP="00E15917">
      <w:pPr>
        <w:pStyle w:val="NoSpacing"/>
      </w:pPr>
    </w:p>
    <w:p w14:paraId="5D6A0847" w14:textId="5D84FA41" w:rsidR="00E15917" w:rsidRPr="00E624E1" w:rsidRDefault="00851094" w:rsidP="00E15917">
      <w:pPr>
        <w:pStyle w:val="NoSpacing"/>
        <w:rPr>
          <w:color w:val="0000FF"/>
        </w:rPr>
      </w:pPr>
      <w:r>
        <w:t xml:space="preserve">First we’ll examine the equilibrium charge distribution of a pn junction, and potential difference that arises from the contact junction in the absence of an external potential difference.  </w:t>
      </w:r>
      <w:r w:rsidR="00647FCF">
        <w:t>So</w:t>
      </w:r>
      <w:r w:rsidR="00E15917">
        <w:t xml:space="preserve"> let’s consider a p-type semiconductor joined to an n-type semiconductor.  </w:t>
      </w:r>
      <w:r w:rsidR="00603AFE">
        <w:t>The</w:t>
      </w:r>
      <w:r w:rsidR="00E61F33">
        <w:t xml:space="preserve"> p could be </w:t>
      </w:r>
      <w:r w:rsidR="00603AFE">
        <w:t>Ge</w:t>
      </w:r>
      <w:r w:rsidR="00E61F33">
        <w:t>Ga</w:t>
      </w:r>
      <w:r w:rsidR="00603AFE">
        <w:t>;</w:t>
      </w:r>
      <w:r w:rsidR="00E61F33">
        <w:t xml:space="preserve"> the n could be Ge</w:t>
      </w:r>
      <w:r w:rsidR="00603AFE">
        <w:t>As</w:t>
      </w:r>
      <w:r w:rsidR="00E61F33">
        <w:t>.</w:t>
      </w:r>
      <w:r w:rsidR="00C34F95">
        <w:t xml:space="preserve">  </w:t>
      </w:r>
      <w:r w:rsidR="00D32420">
        <w:t xml:space="preserve">The electron levels and the chemical potential is illustrated below.  The chemical potential, as we saw in the impurities folder should still be roughly half-way inbetween the gap for both of them, </w:t>
      </w:r>
      <w:r w:rsidR="00D32420" w:rsidRPr="00E624E1">
        <w:rPr>
          <w:color w:val="0000FF"/>
        </w:rPr>
        <w:t xml:space="preserve">separated by O(0.1eV), with </w:t>
      </w:r>
      <w:r w:rsidR="00D32420" w:rsidRPr="00E624E1">
        <w:rPr>
          <w:rFonts w:ascii="Calibri" w:hAnsi="Calibri" w:cs="Calibri"/>
          <w:color w:val="0000FF"/>
        </w:rPr>
        <w:t>μ</w:t>
      </w:r>
      <w:r w:rsidR="00D32420" w:rsidRPr="00E624E1">
        <w:rPr>
          <w:color w:val="0000FF"/>
          <w:vertAlign w:val="subscript"/>
        </w:rPr>
        <w:t>n-type</w:t>
      </w:r>
      <w:r w:rsidR="00D32420" w:rsidRPr="00E624E1">
        <w:rPr>
          <w:color w:val="0000FF"/>
        </w:rPr>
        <w:t xml:space="preserve"> &gt; </w:t>
      </w:r>
      <w:r w:rsidR="00D32420" w:rsidRPr="00E624E1">
        <w:rPr>
          <w:rFonts w:ascii="Calibri" w:hAnsi="Calibri" w:cs="Calibri"/>
          <w:color w:val="0000FF"/>
        </w:rPr>
        <w:t>μ</w:t>
      </w:r>
      <w:r w:rsidR="00D32420" w:rsidRPr="00E624E1">
        <w:rPr>
          <w:color w:val="0000FF"/>
          <w:vertAlign w:val="subscript"/>
        </w:rPr>
        <w:t>p-type</w:t>
      </w:r>
      <w:r w:rsidR="00D32420" w:rsidRPr="00E624E1">
        <w:rPr>
          <w:color w:val="0000FF"/>
        </w:rPr>
        <w:t xml:space="preserve">.  So the difference between them has been exaggerated.  </w:t>
      </w:r>
      <w:r w:rsidR="00C32970" w:rsidRPr="00E624E1">
        <w:rPr>
          <w:color w:val="0000FF"/>
        </w:rPr>
        <w:t xml:space="preserve">In the depictions below, I’m going to draw the electron/hole distributions to first order, assuming </w:t>
      </w:r>
      <w:r w:rsidR="00C32970" w:rsidRPr="00E624E1">
        <w:rPr>
          <w:rFonts w:ascii="Calibri" w:hAnsi="Calibri" w:cs="Calibri"/>
          <w:color w:val="0000FF"/>
        </w:rPr>
        <w:t>Δ</w:t>
      </w:r>
      <w:r w:rsidR="00C32970" w:rsidRPr="00E624E1">
        <w:rPr>
          <w:color w:val="0000FF"/>
        </w:rPr>
        <w:t>N</w:t>
      </w:r>
      <w:r w:rsidR="00044E20" w:rsidRPr="00E624E1">
        <w:rPr>
          <w:color w:val="0000FF"/>
        </w:rPr>
        <w:t xml:space="preserve"> &gt;&gt; n</w:t>
      </w:r>
      <w:r w:rsidR="00044E20" w:rsidRPr="00E624E1">
        <w:rPr>
          <w:color w:val="0000FF"/>
          <w:vertAlign w:val="subscript"/>
        </w:rPr>
        <w:t>i</w:t>
      </w:r>
      <w:r w:rsidR="00044E20" w:rsidRPr="00E624E1">
        <w:rPr>
          <w:color w:val="0000FF"/>
        </w:rPr>
        <w:t>, skipping the O(n</w:t>
      </w:r>
      <w:r w:rsidR="00044E20" w:rsidRPr="00E624E1">
        <w:rPr>
          <w:color w:val="0000FF"/>
          <w:vertAlign w:val="subscript"/>
        </w:rPr>
        <w:t>i</w:t>
      </w:r>
      <w:r w:rsidR="00044E20" w:rsidRPr="00E624E1">
        <w:rPr>
          <w:color w:val="0000FF"/>
          <w:vertAlign w:val="superscript"/>
        </w:rPr>
        <w:t>2</w:t>
      </w:r>
      <w:r w:rsidR="00044E20" w:rsidRPr="00E624E1">
        <w:rPr>
          <w:color w:val="0000FF"/>
        </w:rPr>
        <w:t>/</w:t>
      </w:r>
      <w:r w:rsidR="00044E20" w:rsidRPr="00E624E1">
        <w:rPr>
          <w:rFonts w:ascii="Calibri" w:hAnsi="Calibri" w:cs="Calibri"/>
          <w:color w:val="0000FF"/>
        </w:rPr>
        <w:t>Δ</w:t>
      </w:r>
      <w:r w:rsidR="00044E20" w:rsidRPr="00E624E1">
        <w:rPr>
          <w:color w:val="0000FF"/>
        </w:rPr>
        <w:t xml:space="preserve">N) contribution we talked about in the Thermal Equilibrium Properties file in the </w:t>
      </w:r>
      <w:r w:rsidR="006472B4">
        <w:rPr>
          <w:color w:val="0000FF"/>
        </w:rPr>
        <w:t>previous</w:t>
      </w:r>
      <w:r w:rsidR="00044E20" w:rsidRPr="00E624E1">
        <w:rPr>
          <w:color w:val="0000FF"/>
        </w:rPr>
        <w:t xml:space="preserve"> folder up.  </w:t>
      </w:r>
    </w:p>
    <w:p w14:paraId="5DF6E022" w14:textId="2F2015F9" w:rsidR="00E15917" w:rsidRDefault="00E15917" w:rsidP="00E15917">
      <w:pPr>
        <w:pStyle w:val="NoSpacing"/>
      </w:pPr>
    </w:p>
    <w:p w14:paraId="7CF7CD2A" w14:textId="264C4735" w:rsidR="0026505A" w:rsidRDefault="0026505A" w:rsidP="00E15917">
      <w:pPr>
        <w:pStyle w:val="NoSpacing"/>
      </w:pPr>
      <w:r w:rsidRPr="0026505A">
        <w:rPr>
          <w:noProof/>
        </w:rPr>
        <w:lastRenderedPageBreak/>
        <w:drawing>
          <wp:inline distT="0" distB="0" distL="0" distR="0" wp14:anchorId="5754835C" wp14:editId="10C71E6A">
            <wp:extent cx="6172200" cy="1616245"/>
            <wp:effectExtent l="0" t="0" r="0" b="3175"/>
            <wp:docPr id="3" name="Picture 3" descr="Chart,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shape&#10;&#10;Description automatically generated"/>
                    <pic:cNvPicPr/>
                  </pic:nvPicPr>
                  <pic:blipFill>
                    <a:blip r:embed="rId9"/>
                    <a:stretch>
                      <a:fillRect/>
                    </a:stretch>
                  </pic:blipFill>
                  <pic:spPr>
                    <a:xfrm>
                      <a:off x="0" y="0"/>
                      <a:ext cx="6202319" cy="1624132"/>
                    </a:xfrm>
                    <a:prstGeom prst="rect">
                      <a:avLst/>
                    </a:prstGeom>
                  </pic:spPr>
                </pic:pic>
              </a:graphicData>
            </a:graphic>
          </wp:inline>
        </w:drawing>
      </w:r>
    </w:p>
    <w:p w14:paraId="540E9EE3" w14:textId="77777777" w:rsidR="0026505A" w:rsidRDefault="0026505A" w:rsidP="00E15917">
      <w:pPr>
        <w:pStyle w:val="NoSpacing"/>
      </w:pPr>
    </w:p>
    <w:p w14:paraId="2162C3C7" w14:textId="43AE2ADE" w:rsidR="00A145C9" w:rsidRDefault="00C34F95" w:rsidP="00A145C9">
      <w:pPr>
        <w:pStyle w:val="NoSpacing"/>
      </w:pPr>
      <w:r>
        <w:t>Though each side is neutral, we have more electrons on the right than on the left</w:t>
      </w:r>
      <w:r w:rsidR="00CF069E">
        <w:t xml:space="preserve"> (maybe it’s more important that there are more </w:t>
      </w:r>
      <w:r w:rsidR="00CF069E" w:rsidRPr="00CF069E">
        <w:rPr>
          <w:i/>
        </w:rPr>
        <w:t>mobile</w:t>
      </w:r>
      <w:r w:rsidR="00CF069E">
        <w:t xml:space="preserve"> electrons on the right).  </w:t>
      </w:r>
      <w:r>
        <w:t>And the chemical potential on the right is higher.  So the electrons will want to diffuse to the left, until the chemical potentials are equal.  But this will induce a net dipole moment across the interface</w:t>
      </w:r>
      <w:r w:rsidR="00FB36D9">
        <w:t>, and therefore an electric potential difference</w:t>
      </w:r>
      <w:r>
        <w:t xml:space="preserve">.  </w:t>
      </w:r>
      <w:r w:rsidR="00307446">
        <w:t>In drawing below, three electrons on right migrate to the left</w:t>
      </w:r>
      <w:r w:rsidR="00A145C9">
        <w:t xml:space="preserve">. </w:t>
      </w:r>
      <w:r w:rsidR="00A145C9" w:rsidRPr="00A145C9">
        <w:t xml:space="preserve"> </w:t>
      </w:r>
      <w:r w:rsidR="00A145C9">
        <w:t xml:space="preserve">As a consequence of the potential difference, </w:t>
      </w:r>
      <w:r w:rsidR="00A145C9">
        <w:rPr>
          <w:rFonts w:ascii="Calibri" w:hAnsi="Calibri" w:cs="Calibri"/>
        </w:rPr>
        <w:t>φ</w:t>
      </w:r>
      <w:r w:rsidR="00A145C9">
        <w:t xml:space="preserve">, induced, the energy levels of the electrons will be altered.  We’ll use a semi-classical approximation, and just say that the energy levels are altered by an amount equal to the local potential difference, so </w:t>
      </w:r>
      <w:r w:rsidR="00A145C9">
        <w:rPr>
          <w:rFonts w:ascii="Calibri" w:hAnsi="Calibri" w:cs="Calibri"/>
        </w:rPr>
        <w:t>ε</w:t>
      </w:r>
      <w:r w:rsidR="00A145C9">
        <w:t xml:space="preserve"> </w:t>
      </w:r>
      <w:r w:rsidR="00A145C9">
        <w:rPr>
          <w:rFonts w:ascii="Calibri" w:hAnsi="Calibri" w:cs="Calibri"/>
        </w:rPr>
        <w:t>→</w:t>
      </w:r>
      <w:r w:rsidR="00A145C9">
        <w:t xml:space="preserve"> </w:t>
      </w:r>
      <w:r w:rsidR="00A145C9">
        <w:rPr>
          <w:rFonts w:ascii="Calibri" w:hAnsi="Calibri" w:cs="Calibri"/>
        </w:rPr>
        <w:t>ε</w:t>
      </w:r>
      <w:r w:rsidR="00A145C9">
        <w:t xml:space="preserve"> + e</w:t>
      </w:r>
      <w:r w:rsidR="00A145C9">
        <w:rPr>
          <w:rFonts w:ascii="Calibri" w:hAnsi="Calibri" w:cs="Calibri"/>
        </w:rPr>
        <w:t>φ</w:t>
      </w:r>
      <w:r w:rsidR="00A145C9">
        <w:t xml:space="preserve">(x) (and e is negative).  So </w:t>
      </w:r>
      <w:r w:rsidR="00A145C9">
        <w:rPr>
          <w:rFonts w:ascii="Calibri" w:hAnsi="Calibri" w:cs="Calibri"/>
        </w:rPr>
        <w:t>ε</w:t>
      </w:r>
      <w:r w:rsidR="00A145C9">
        <w:t xml:space="preserve"> = </w:t>
      </w:r>
      <w:r w:rsidR="00A145C9">
        <w:rPr>
          <w:rFonts w:ascii="Calibri" w:hAnsi="Calibri" w:cs="Calibri"/>
        </w:rPr>
        <w:t>ε</w:t>
      </w:r>
      <w:r w:rsidR="00A145C9">
        <w:t xml:space="preserve"> – |e|</w:t>
      </w:r>
      <w:r w:rsidR="00A145C9">
        <w:rPr>
          <w:rFonts w:ascii="Calibri" w:hAnsi="Calibri" w:cs="Calibri"/>
        </w:rPr>
        <w:t>φ</w:t>
      </w:r>
      <w:r w:rsidR="00A145C9">
        <w:t xml:space="preserve">(x).  And since </w:t>
      </w:r>
      <w:r w:rsidR="00A145C9">
        <w:rPr>
          <w:rFonts w:ascii="Calibri" w:hAnsi="Calibri" w:cs="Calibri"/>
        </w:rPr>
        <w:t>φ</w:t>
      </w:r>
      <w:r w:rsidR="00A145C9">
        <w:t xml:space="preserve">(x) is negative on the left, and positive on the right, the energy levels will go up on the left, and down on the right.  But near the interface, as </w:t>
      </w:r>
      <w:r w:rsidR="00A145C9">
        <w:rPr>
          <w:rFonts w:ascii="Calibri" w:hAnsi="Calibri" w:cs="Calibri"/>
        </w:rPr>
        <w:t>φ</w:t>
      </w:r>
      <w:r w:rsidR="00A145C9">
        <w:t xml:space="preserve">(x) </w:t>
      </w:r>
      <w:r w:rsidR="00A145C9">
        <w:rPr>
          <w:rFonts w:ascii="Calibri" w:hAnsi="Calibri" w:cs="Calibri"/>
        </w:rPr>
        <w:t>→</w:t>
      </w:r>
      <w:r w:rsidR="00A145C9">
        <w:t xml:space="preserve"> 0, they will be more or less unmoved</w:t>
      </w:r>
      <w:r w:rsidR="008C1C71">
        <w:t xml:space="preserve">, as </w:t>
      </w:r>
      <w:r w:rsidR="008C1C71">
        <w:rPr>
          <w:rFonts w:ascii="Calibri" w:hAnsi="Calibri" w:cs="Calibri"/>
        </w:rPr>
        <w:t>φ</w:t>
      </w:r>
      <w:r w:rsidR="008C1C71">
        <w:t>(x) is small</w:t>
      </w:r>
      <w:r w:rsidR="00A145C9">
        <w:t xml:space="preserve">.  So the donor and acceptor levels will get close together far from the interface, but practically unmoved close to the interface.  BTW, I used the </w:t>
      </w:r>
      <w:r w:rsidR="00A145C9">
        <w:rPr>
          <w:rFonts w:ascii="Calibri" w:hAnsi="Calibri" w:cs="Calibri"/>
        </w:rPr>
        <w:t>μ</w:t>
      </w:r>
      <w:r w:rsidR="00A145C9">
        <w:t xml:space="preserve"> line as the reference line </w:t>
      </w:r>
      <w:r w:rsidR="00A145C9">
        <w:rPr>
          <w:rFonts w:ascii="Calibri" w:hAnsi="Calibri" w:cs="Calibri"/>
        </w:rPr>
        <w:t>φ</w:t>
      </w:r>
      <w:r w:rsidR="00A145C9">
        <w:t>(x) = 0 for the induced electric potential.</w:t>
      </w:r>
    </w:p>
    <w:p w14:paraId="17174A52" w14:textId="689DA418" w:rsidR="00E15917" w:rsidRDefault="00E15917" w:rsidP="00E15917">
      <w:pPr>
        <w:pStyle w:val="NoSpacing"/>
      </w:pPr>
    </w:p>
    <w:p w14:paraId="0738DC2B" w14:textId="5ECBB48C" w:rsidR="00BE5B12" w:rsidRDefault="00DB06B3" w:rsidP="00E15917">
      <w:pPr>
        <w:pStyle w:val="NoSpacing"/>
      </w:pPr>
      <w:r w:rsidRPr="00DB06B3">
        <w:rPr>
          <w:noProof/>
        </w:rPr>
        <w:drawing>
          <wp:inline distT="0" distB="0" distL="0" distR="0" wp14:anchorId="47DA58C4" wp14:editId="18FDE4BE">
            <wp:extent cx="6386945" cy="2068934"/>
            <wp:effectExtent l="0" t="0" r="0" b="7620"/>
            <wp:docPr id="6" name="Picture 6"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histogram&#10;&#10;Description automatically generated"/>
                    <pic:cNvPicPr/>
                  </pic:nvPicPr>
                  <pic:blipFill>
                    <a:blip r:embed="rId10"/>
                    <a:stretch>
                      <a:fillRect/>
                    </a:stretch>
                  </pic:blipFill>
                  <pic:spPr>
                    <a:xfrm>
                      <a:off x="0" y="0"/>
                      <a:ext cx="6415845" cy="2078295"/>
                    </a:xfrm>
                    <a:prstGeom prst="rect">
                      <a:avLst/>
                    </a:prstGeom>
                  </pic:spPr>
                </pic:pic>
              </a:graphicData>
            </a:graphic>
          </wp:inline>
        </w:drawing>
      </w:r>
    </w:p>
    <w:p w14:paraId="5BD1E295" w14:textId="30F8BF36" w:rsidR="00EF4D06" w:rsidRDefault="00EF4D06" w:rsidP="00E15917">
      <w:pPr>
        <w:pStyle w:val="NoSpacing"/>
      </w:pPr>
    </w:p>
    <w:p w14:paraId="6DF7B0B3" w14:textId="216F8F80" w:rsidR="00795F78" w:rsidRDefault="00A145C9" w:rsidP="00E15917">
      <w:pPr>
        <w:pStyle w:val="NoSpacing"/>
      </w:pPr>
      <w:r>
        <w:t xml:space="preserve">So we’d like to see how the populations of the levels </w:t>
      </w:r>
      <w:r w:rsidR="00EA2140">
        <w:t xml:space="preserve">and bands </w:t>
      </w:r>
      <w:r>
        <w:t xml:space="preserve">changes, now.  </w:t>
      </w:r>
      <w:r w:rsidR="008C1C71">
        <w:t xml:space="preserve">And we’d also like to know what </w:t>
      </w:r>
      <w:r w:rsidR="008C1C71">
        <w:rPr>
          <w:rFonts w:ascii="Calibri" w:hAnsi="Calibri" w:cs="Calibri"/>
        </w:rPr>
        <w:t>φ</w:t>
      </w:r>
      <w:r w:rsidR="008C1C71">
        <w:t xml:space="preserve">(x) is.  </w:t>
      </w:r>
      <w:r w:rsidR="00661406">
        <w:t xml:space="preserve">We’ll presume that </w:t>
      </w:r>
      <w:r w:rsidR="00661406">
        <w:rPr>
          <w:rFonts w:ascii="Calibri" w:hAnsi="Calibri" w:cs="Calibri"/>
        </w:rPr>
        <w:t>φ</w:t>
      </w:r>
      <w:r w:rsidR="00661406">
        <w:t xml:space="preserve">(x) is weak enough that the levels are still pretty far from the chemical potential, and we can still use Maxwellian statistics.  </w:t>
      </w:r>
      <w:r w:rsidR="008C1C71">
        <w:t xml:space="preserve">We can self-consistently use Maxwell’s equation to determine these.  So given </w:t>
      </w:r>
      <w:r w:rsidR="008C1C71">
        <w:rPr>
          <w:rFonts w:ascii="Calibri" w:hAnsi="Calibri" w:cs="Calibri"/>
        </w:rPr>
        <w:t>φ</w:t>
      </w:r>
      <w:r w:rsidR="008C1C71">
        <w:t xml:space="preserve">(x), </w:t>
      </w:r>
      <w:r w:rsidR="0025435F">
        <w:t xml:space="preserve">from equations found in the Thermal Equilibrium Properties file, </w:t>
      </w:r>
      <w:r w:rsidR="008C1C71">
        <w:t>the populations of the donor and acceptor levels is</w:t>
      </w:r>
      <w:r w:rsidR="00EA2140">
        <w:t xml:space="preserve"> (note </w:t>
      </w:r>
      <w:r w:rsidR="001E45DC">
        <w:t>each</w:t>
      </w:r>
      <w:r w:rsidR="00EA2140">
        <w:t xml:space="preserve"> of these formulas is basically degeneracy of the energy level </w:t>
      </w:r>
      <w:r w:rsidR="00EA2140">
        <w:rPr>
          <w:rFonts w:ascii="Calibri" w:hAnsi="Calibri" w:cs="Calibri"/>
        </w:rPr>
        <w:t>×</w:t>
      </w:r>
      <w:r w:rsidR="00EA2140">
        <w:t xml:space="preserve"> Maxwell factor)</w:t>
      </w:r>
      <w:r w:rsidR="008C1C71">
        <w:t>:</w:t>
      </w:r>
    </w:p>
    <w:p w14:paraId="51C94FD5" w14:textId="5CD71FAC" w:rsidR="008C1C71" w:rsidRDefault="008C1C71" w:rsidP="00E15917">
      <w:pPr>
        <w:pStyle w:val="NoSpacing"/>
      </w:pPr>
    </w:p>
    <w:p w14:paraId="43E6EDE3" w14:textId="7044BD18" w:rsidR="008C1C71" w:rsidRDefault="00E11DE5" w:rsidP="00E15917">
      <w:pPr>
        <w:pStyle w:val="NoSpacing"/>
      </w:pPr>
      <w:r w:rsidRPr="00335419">
        <w:rPr>
          <w:position w:val="-32"/>
        </w:rPr>
        <w:object w:dxaOrig="2680" w:dyaOrig="760" w14:anchorId="3A3E2E44">
          <v:shape id="_x0000_i1027" type="#_x0000_t75" style="width:134.75pt;height:38.2pt" o:ole="">
            <v:imagedata r:id="rId11" o:title=""/>
          </v:shape>
          <o:OLEObject Type="Embed" ProgID="Equation.DSMT4" ShapeID="_x0000_i1027" DrawAspect="Content" ObjectID="_1743754650" r:id="rId12"/>
        </w:object>
      </w:r>
    </w:p>
    <w:p w14:paraId="3C2216C9" w14:textId="02D0F07E" w:rsidR="008C1C71" w:rsidRDefault="008C1C71" w:rsidP="00E15917">
      <w:pPr>
        <w:pStyle w:val="NoSpacing"/>
      </w:pPr>
    </w:p>
    <w:p w14:paraId="24A6D297" w14:textId="7C6A7060" w:rsidR="008C1C71" w:rsidRDefault="008C1C71" w:rsidP="00E15917">
      <w:pPr>
        <w:pStyle w:val="NoSpacing"/>
      </w:pPr>
      <w:r>
        <w:lastRenderedPageBreak/>
        <w:t>and those of the conduction and valence bands, is:</w:t>
      </w:r>
    </w:p>
    <w:p w14:paraId="12A6A2A1" w14:textId="77777777" w:rsidR="008C1C71" w:rsidRDefault="008C1C71" w:rsidP="00E15917">
      <w:pPr>
        <w:pStyle w:val="NoSpacing"/>
      </w:pPr>
    </w:p>
    <w:p w14:paraId="692954CB" w14:textId="229DA82A" w:rsidR="008C1C71" w:rsidRDefault="00E11DE5" w:rsidP="00E15917">
      <w:pPr>
        <w:pStyle w:val="NoSpacing"/>
      </w:pPr>
      <w:r w:rsidRPr="00E11DE5">
        <w:rPr>
          <w:position w:val="-72"/>
        </w:rPr>
        <w:object w:dxaOrig="7140" w:dyaOrig="1560" w14:anchorId="409A640E">
          <v:shape id="_x0000_i1028" type="#_x0000_t75" style="width:357.25pt;height:78pt" o:ole="">
            <v:imagedata r:id="rId13" o:title=""/>
          </v:shape>
          <o:OLEObject Type="Embed" ProgID="Equation.DSMT4" ShapeID="_x0000_i1028" DrawAspect="Content" ObjectID="_1743754651" r:id="rId14"/>
        </w:object>
      </w:r>
    </w:p>
    <w:p w14:paraId="61C4F42B" w14:textId="77777777" w:rsidR="00795F78" w:rsidRDefault="00795F78" w:rsidP="00E15917">
      <w:pPr>
        <w:pStyle w:val="NoSpacing"/>
      </w:pPr>
    </w:p>
    <w:p w14:paraId="3827CEF4" w14:textId="46EA8D7C" w:rsidR="00444A27" w:rsidRDefault="008C1C71" w:rsidP="00CD5626">
      <w:pPr>
        <w:pStyle w:val="NoSpacing"/>
        <w:rPr>
          <w:rFonts w:ascii="Calibri" w:hAnsi="Calibri" w:cs="Calibri"/>
        </w:rPr>
      </w:pPr>
      <w:r>
        <w:t xml:space="preserve">Again, e is negative.  </w:t>
      </w:r>
      <w:r w:rsidR="00D231E4" w:rsidRPr="00D231E4">
        <w:rPr>
          <w:color w:val="0000FF"/>
        </w:rPr>
        <w:t>And note the law of Mass Action still holds: n</w:t>
      </w:r>
      <w:r w:rsidR="00D231E4" w:rsidRPr="00D231E4">
        <w:rPr>
          <w:color w:val="0000FF"/>
          <w:vertAlign w:val="subscript"/>
        </w:rPr>
        <w:t>c</w:t>
      </w:r>
      <w:r w:rsidR="00D231E4" w:rsidRPr="00D231E4">
        <w:rPr>
          <w:color w:val="0000FF"/>
        </w:rPr>
        <w:t>p</w:t>
      </w:r>
      <w:r w:rsidR="00D231E4" w:rsidRPr="00D231E4">
        <w:rPr>
          <w:color w:val="0000FF"/>
          <w:vertAlign w:val="subscript"/>
        </w:rPr>
        <w:t>v</w:t>
      </w:r>
      <w:r w:rsidR="00D231E4" w:rsidRPr="00D231E4">
        <w:rPr>
          <w:color w:val="0000FF"/>
        </w:rPr>
        <w:t xml:space="preserve"> = n</w:t>
      </w:r>
      <w:r w:rsidR="00D231E4" w:rsidRPr="00D231E4">
        <w:rPr>
          <w:color w:val="0000FF"/>
          <w:vertAlign w:val="subscript"/>
        </w:rPr>
        <w:t>i</w:t>
      </w:r>
      <w:r w:rsidR="00D231E4" w:rsidRPr="00D231E4">
        <w:rPr>
          <w:color w:val="0000FF"/>
          <w:vertAlign w:val="superscript"/>
        </w:rPr>
        <w:t>2</w:t>
      </w:r>
      <w:r w:rsidR="00D231E4">
        <w:t xml:space="preserve">.  </w:t>
      </w:r>
      <w:r w:rsidR="00CD5626" w:rsidRPr="00D231E4">
        <w:t>We</w:t>
      </w:r>
      <w:r w:rsidR="00CD5626">
        <w:t xml:space="preserve"> need an expression for the local charge density.  It helps to look at the first diagram above.  In </w:t>
      </w:r>
      <w:r w:rsidR="0085102F">
        <w:t>a neutral</w:t>
      </w:r>
      <w:r w:rsidR="00CD5626">
        <w:t xml:space="preserve"> p-type guy, the number of holes in the acceptor level and valence level adds up to N</w:t>
      </w:r>
      <w:r w:rsidR="00CD5626">
        <w:rPr>
          <w:vertAlign w:val="subscript"/>
        </w:rPr>
        <w:t>a</w:t>
      </w:r>
      <w:r w:rsidR="007F0265">
        <w:t xml:space="preserve">.  This is because </w:t>
      </w:r>
      <w:r w:rsidR="006A7CCE">
        <w:t>with</w:t>
      </w:r>
      <w:r w:rsidR="007F0265">
        <w:t xml:space="preserve"> a filled valence band, there are N</w:t>
      </w:r>
      <w:r w:rsidR="007F0265">
        <w:rPr>
          <w:vertAlign w:val="subscript"/>
        </w:rPr>
        <w:t>a</w:t>
      </w:r>
      <w:r w:rsidR="007F0265">
        <w:t xml:space="preserve"> holes in acceptor level ‘band’ (each level is singly occupied), and then if a hole drops from acceptor level, it will go to valence band – so holes conserved.</w:t>
      </w:r>
      <w:r w:rsidR="00CD5626">
        <w:t xml:space="preserve">  And this is a zero net-charge situation.  A net charge density of </w:t>
      </w:r>
      <w:r w:rsidR="00CD5626">
        <w:rPr>
          <w:rFonts w:ascii="Calibri" w:hAnsi="Calibri" w:cs="Calibri"/>
        </w:rPr>
        <w:t>ρ</w:t>
      </w:r>
      <w:r w:rsidR="00CD5626">
        <w:rPr>
          <w:vertAlign w:val="subscript"/>
        </w:rPr>
        <w:t>p</w:t>
      </w:r>
      <w:r w:rsidR="00CD5626">
        <w:t xml:space="preserve"> = -e(p</w:t>
      </w:r>
      <w:r w:rsidR="00CD5626">
        <w:rPr>
          <w:vertAlign w:val="subscript"/>
        </w:rPr>
        <w:t>a</w:t>
      </w:r>
      <w:r w:rsidR="00CD5626">
        <w:t xml:space="preserve"> + p</w:t>
      </w:r>
      <w:r w:rsidR="00CD5626">
        <w:rPr>
          <w:vertAlign w:val="subscript"/>
        </w:rPr>
        <w:t>v</w:t>
      </w:r>
      <w:r w:rsidR="00CD5626">
        <w:t xml:space="preserve"> – N</w:t>
      </w:r>
      <w:r w:rsidR="00CD5626">
        <w:rPr>
          <w:vertAlign w:val="subscript"/>
        </w:rPr>
        <w:t>a</w:t>
      </w:r>
      <w:r w:rsidR="00CD5626">
        <w:t>) will be present if they don’t equal</w:t>
      </w:r>
      <w:r w:rsidR="006A7CCE">
        <w:t xml:space="preserve"> (e is negative)</w:t>
      </w:r>
      <w:r w:rsidR="00CD5626">
        <w:t xml:space="preserve">. </w:t>
      </w:r>
      <w:r w:rsidR="00CA4975">
        <w:rPr>
          <w:color w:val="0000FF"/>
        </w:rPr>
        <w:t xml:space="preserve">Parenthetically, can see we are </w:t>
      </w:r>
      <w:r w:rsidR="001D23CD">
        <w:rPr>
          <w:color w:val="0000FF"/>
        </w:rPr>
        <w:t xml:space="preserve">neglecting the possibility that electrons are in the conduction band (perhaps by jumping up from the valence band).  So we are therefore neglecting the </w:t>
      </w:r>
      <w:r w:rsidR="00CA4975" w:rsidRPr="00E624E1">
        <w:rPr>
          <w:color w:val="0000FF"/>
        </w:rPr>
        <w:t>n</w:t>
      </w:r>
      <w:r w:rsidR="00CA4975" w:rsidRPr="00E624E1">
        <w:rPr>
          <w:color w:val="0000FF"/>
          <w:vertAlign w:val="subscript"/>
        </w:rPr>
        <w:t>i</w:t>
      </w:r>
      <w:r w:rsidR="00CA4975" w:rsidRPr="00E624E1">
        <w:rPr>
          <w:color w:val="0000FF"/>
          <w:vertAlign w:val="superscript"/>
        </w:rPr>
        <w:t>2</w:t>
      </w:r>
      <w:r w:rsidR="00CA4975" w:rsidRPr="00E624E1">
        <w:rPr>
          <w:color w:val="0000FF"/>
        </w:rPr>
        <w:t>/</w:t>
      </w:r>
      <w:r w:rsidR="00CA4975" w:rsidRPr="00E624E1">
        <w:rPr>
          <w:rFonts w:ascii="Calibri" w:hAnsi="Calibri" w:cs="Calibri"/>
          <w:color w:val="0000FF"/>
        </w:rPr>
        <w:t>Δ</w:t>
      </w:r>
      <w:r w:rsidR="00CA4975" w:rsidRPr="00E624E1">
        <w:rPr>
          <w:color w:val="0000FF"/>
        </w:rPr>
        <w:t xml:space="preserve">N contribution </w:t>
      </w:r>
      <w:r w:rsidR="00CA4975">
        <w:rPr>
          <w:color w:val="0000FF"/>
        </w:rPr>
        <w:t xml:space="preserve">to </w:t>
      </w:r>
      <w:r w:rsidR="001D23CD">
        <w:rPr>
          <w:color w:val="0000FF"/>
        </w:rPr>
        <w:t xml:space="preserve">electron density in the conduction band, and to the extra hole density in the valence band.  </w:t>
      </w:r>
      <w:r w:rsidR="00CD5626">
        <w:t xml:space="preserve">Likewise, on the right, </w:t>
      </w:r>
      <w:r w:rsidR="007F0265">
        <w:t>a neutral n-type guy will have N</w:t>
      </w:r>
      <w:r w:rsidR="007F0265">
        <w:rPr>
          <w:vertAlign w:val="subscript"/>
        </w:rPr>
        <w:t>d</w:t>
      </w:r>
      <w:r w:rsidR="007F0265">
        <w:t xml:space="preserve"> electrons in the donor level ‘band’ (each level is singly occupied), and then if an electron jumps off the donor ‘band’ it will go into the conduction band.  So electrons are conserved.  </w:t>
      </w:r>
      <w:r w:rsidR="006A7CCE">
        <w:t>And so the number of electrons in the donor and conduction bands equals N</w:t>
      </w:r>
      <w:r w:rsidR="006A7CCE">
        <w:rPr>
          <w:vertAlign w:val="subscript"/>
        </w:rPr>
        <w:t>d</w:t>
      </w:r>
      <w:r w:rsidR="006A7CCE">
        <w:t xml:space="preserve">.  If they don’t equal, there is a net charge of </w:t>
      </w:r>
      <w:r w:rsidR="00CD5626">
        <w:rPr>
          <w:rFonts w:ascii="Calibri" w:hAnsi="Calibri" w:cs="Calibri"/>
        </w:rPr>
        <w:t>ρ</w:t>
      </w:r>
      <w:r w:rsidR="00CD5626">
        <w:rPr>
          <w:vertAlign w:val="subscript"/>
        </w:rPr>
        <w:t>n</w:t>
      </w:r>
      <w:r w:rsidR="00CD5626">
        <w:t xml:space="preserve"> = e(</w:t>
      </w:r>
      <w:r w:rsidR="00CD5626">
        <w:rPr>
          <w:rFonts w:ascii="Calibri" w:hAnsi="Calibri" w:cs="Calibri"/>
        </w:rPr>
        <w:t>n</w:t>
      </w:r>
      <w:r w:rsidR="00CD5626">
        <w:rPr>
          <w:rFonts w:ascii="Calibri" w:hAnsi="Calibri" w:cs="Calibri"/>
          <w:vertAlign w:val="subscript"/>
        </w:rPr>
        <w:t>d</w:t>
      </w:r>
      <w:r w:rsidR="00CD5626">
        <w:rPr>
          <w:rFonts w:ascii="Calibri" w:hAnsi="Calibri" w:cs="Calibri"/>
        </w:rPr>
        <w:t xml:space="preserve"> + n</w:t>
      </w:r>
      <w:r w:rsidR="00CD5626">
        <w:rPr>
          <w:rFonts w:ascii="Calibri" w:hAnsi="Calibri" w:cs="Calibri"/>
          <w:vertAlign w:val="subscript"/>
        </w:rPr>
        <w:t>c</w:t>
      </w:r>
      <w:r w:rsidR="00CD5626">
        <w:rPr>
          <w:rFonts w:ascii="Calibri" w:hAnsi="Calibri" w:cs="Calibri"/>
        </w:rPr>
        <w:t xml:space="preserve"> – N</w:t>
      </w:r>
      <w:r w:rsidR="00CD5626">
        <w:rPr>
          <w:rFonts w:ascii="Calibri" w:hAnsi="Calibri" w:cs="Calibri"/>
          <w:vertAlign w:val="subscript"/>
        </w:rPr>
        <w:t>c</w:t>
      </w:r>
      <w:r w:rsidR="00CD5626">
        <w:rPr>
          <w:rFonts w:ascii="Calibri" w:hAnsi="Calibri" w:cs="Calibri"/>
        </w:rPr>
        <w:t>)</w:t>
      </w:r>
      <w:r w:rsidR="006A7CCE">
        <w:rPr>
          <w:rFonts w:ascii="Calibri" w:hAnsi="Calibri" w:cs="Calibri"/>
        </w:rPr>
        <w:t xml:space="preserve">. </w:t>
      </w:r>
      <w:r w:rsidR="007F0265">
        <w:rPr>
          <w:rFonts w:ascii="Calibri" w:hAnsi="Calibri" w:cs="Calibri"/>
        </w:rPr>
        <w:t xml:space="preserve"> </w:t>
      </w:r>
      <w:r w:rsidR="001D23CD" w:rsidRPr="001D23CD">
        <w:rPr>
          <w:rFonts w:ascii="Calibri" w:hAnsi="Calibri" w:cs="Calibri"/>
          <w:color w:val="0066FF"/>
        </w:rPr>
        <w:t>And p</w:t>
      </w:r>
      <w:r w:rsidR="001D23CD" w:rsidRPr="001D23CD">
        <w:rPr>
          <w:color w:val="0066FF"/>
        </w:rPr>
        <w:t xml:space="preserve">arenthetically, can see we are neglecting the possibility that holes are in the </w:t>
      </w:r>
      <w:r w:rsidR="001D23CD">
        <w:rPr>
          <w:color w:val="0066FF"/>
        </w:rPr>
        <w:t>valence</w:t>
      </w:r>
      <w:r w:rsidR="001D23CD" w:rsidRPr="001D23CD">
        <w:rPr>
          <w:color w:val="0066FF"/>
        </w:rPr>
        <w:t xml:space="preserve"> band (perhaps </w:t>
      </w:r>
      <w:r w:rsidR="001D23CD">
        <w:rPr>
          <w:color w:val="0066FF"/>
        </w:rPr>
        <w:t>due to electrons</w:t>
      </w:r>
      <w:r w:rsidR="001D23CD" w:rsidRPr="001D23CD">
        <w:rPr>
          <w:color w:val="0066FF"/>
        </w:rPr>
        <w:t xml:space="preserve"> jumping up from the valence band</w:t>
      </w:r>
      <w:r w:rsidR="001D23CD">
        <w:rPr>
          <w:color w:val="0066FF"/>
        </w:rPr>
        <w:t xml:space="preserve"> into the conduction band</w:t>
      </w:r>
      <w:r w:rsidR="001D23CD" w:rsidRPr="001D23CD">
        <w:rPr>
          <w:color w:val="0066FF"/>
        </w:rPr>
        <w:t>).  So we are therefore neglecting the n</w:t>
      </w:r>
      <w:r w:rsidR="001D23CD" w:rsidRPr="001D23CD">
        <w:rPr>
          <w:color w:val="0066FF"/>
          <w:vertAlign w:val="subscript"/>
        </w:rPr>
        <w:t>i</w:t>
      </w:r>
      <w:r w:rsidR="001D23CD" w:rsidRPr="001D23CD">
        <w:rPr>
          <w:color w:val="0066FF"/>
          <w:vertAlign w:val="superscript"/>
        </w:rPr>
        <w:t>2</w:t>
      </w:r>
      <w:r w:rsidR="001D23CD" w:rsidRPr="001D23CD">
        <w:rPr>
          <w:color w:val="0066FF"/>
        </w:rPr>
        <w:t>/</w:t>
      </w:r>
      <w:r w:rsidR="001D23CD" w:rsidRPr="001D23CD">
        <w:rPr>
          <w:rFonts w:ascii="Calibri" w:hAnsi="Calibri" w:cs="Calibri"/>
          <w:color w:val="0066FF"/>
        </w:rPr>
        <w:t>Δ</w:t>
      </w:r>
      <w:r w:rsidR="001D23CD" w:rsidRPr="001D23CD">
        <w:rPr>
          <w:color w:val="0066FF"/>
        </w:rPr>
        <w:t xml:space="preserve">N contribution to </w:t>
      </w:r>
      <w:r w:rsidR="001D23CD">
        <w:rPr>
          <w:color w:val="0066FF"/>
        </w:rPr>
        <w:t xml:space="preserve">the hole </w:t>
      </w:r>
      <w:r w:rsidR="001D23CD" w:rsidRPr="001D23CD">
        <w:rPr>
          <w:color w:val="0066FF"/>
        </w:rPr>
        <w:t xml:space="preserve">density in the </w:t>
      </w:r>
      <w:r w:rsidR="001D23CD">
        <w:rPr>
          <w:color w:val="0066FF"/>
        </w:rPr>
        <w:t>valence</w:t>
      </w:r>
      <w:r w:rsidR="001D23CD" w:rsidRPr="001D23CD">
        <w:rPr>
          <w:color w:val="0066FF"/>
        </w:rPr>
        <w:t xml:space="preserve"> band, and </w:t>
      </w:r>
      <w:r w:rsidR="008E4818">
        <w:rPr>
          <w:color w:val="0066FF"/>
        </w:rPr>
        <w:t xml:space="preserve">to the </w:t>
      </w:r>
      <w:r w:rsidR="001D23CD">
        <w:rPr>
          <w:color w:val="0066FF"/>
        </w:rPr>
        <w:t>extra electron</w:t>
      </w:r>
      <w:r w:rsidR="001D23CD" w:rsidRPr="001D23CD">
        <w:rPr>
          <w:color w:val="0066FF"/>
        </w:rPr>
        <w:t xml:space="preserve"> density in the </w:t>
      </w:r>
      <w:r w:rsidR="001D23CD">
        <w:rPr>
          <w:color w:val="0066FF"/>
        </w:rPr>
        <w:t>conduction</w:t>
      </w:r>
      <w:r w:rsidR="001D23CD" w:rsidRPr="001D23CD">
        <w:rPr>
          <w:color w:val="0066FF"/>
        </w:rPr>
        <w:t xml:space="preserve"> band.</w:t>
      </w:r>
      <w:r w:rsidR="001D23CD">
        <w:rPr>
          <w:color w:val="0000FF"/>
        </w:rPr>
        <w:t xml:space="preserve">  </w:t>
      </w:r>
      <w:r w:rsidR="00BE0EF5">
        <w:rPr>
          <w:rFonts w:ascii="Calibri" w:hAnsi="Calibri" w:cs="Calibri"/>
        </w:rPr>
        <w:t>Adding the two together gives us the net charge density across the board</w:t>
      </w:r>
      <w:r w:rsidR="00444A27">
        <w:rPr>
          <w:rFonts w:ascii="Calibri" w:hAnsi="Calibri" w:cs="Calibri"/>
        </w:rPr>
        <w:t>.  I</w:t>
      </w:r>
      <w:r w:rsidR="000B393E">
        <w:rPr>
          <w:rFonts w:ascii="Calibri" w:hAnsi="Calibri" w:cs="Calibri"/>
        </w:rPr>
        <w:t>f we extend the definition of N</w:t>
      </w:r>
      <w:r w:rsidR="000B393E">
        <w:rPr>
          <w:rFonts w:ascii="Calibri" w:hAnsi="Calibri" w:cs="Calibri"/>
          <w:vertAlign w:val="subscript"/>
        </w:rPr>
        <w:t>a</w:t>
      </w:r>
      <w:r w:rsidR="007A47C4">
        <w:rPr>
          <w:rFonts w:ascii="Calibri" w:hAnsi="Calibri" w:cs="Calibri"/>
          <w:vertAlign w:val="subscript"/>
        </w:rPr>
        <w:t>,d</w:t>
      </w:r>
      <w:r w:rsidR="000B393E">
        <w:rPr>
          <w:rFonts w:ascii="Calibri" w:hAnsi="Calibri" w:cs="Calibri"/>
        </w:rPr>
        <w:t xml:space="preserve"> to be x-dependent</w:t>
      </w:r>
      <w:r w:rsidR="00444A27">
        <w:rPr>
          <w:rFonts w:ascii="Calibri" w:hAnsi="Calibri" w:cs="Calibri"/>
        </w:rPr>
        <w:t>:</w:t>
      </w:r>
    </w:p>
    <w:p w14:paraId="4FA12015" w14:textId="77777777" w:rsidR="00444A27" w:rsidRDefault="00444A27" w:rsidP="00CD5626">
      <w:pPr>
        <w:pStyle w:val="NoSpacing"/>
        <w:rPr>
          <w:rFonts w:ascii="Calibri" w:hAnsi="Calibri" w:cs="Calibri"/>
        </w:rPr>
      </w:pPr>
    </w:p>
    <w:p w14:paraId="7F47D34A" w14:textId="33ED2406" w:rsidR="00444A27" w:rsidRDefault="00444A27" w:rsidP="00CD5626">
      <w:pPr>
        <w:pStyle w:val="NoSpacing"/>
        <w:rPr>
          <w:rFonts w:ascii="Calibri" w:hAnsi="Calibri" w:cs="Calibri"/>
        </w:rPr>
      </w:pPr>
      <w:r w:rsidRPr="00444A27">
        <w:rPr>
          <w:rFonts w:ascii="Calibri" w:hAnsi="Calibri" w:cs="Calibri"/>
          <w:position w:val="-32"/>
        </w:rPr>
        <w:object w:dxaOrig="5860" w:dyaOrig="760" w14:anchorId="4803474E">
          <v:shape id="_x0000_i1029" type="#_x0000_t75" style="width:293.45pt;height:38.2pt" o:ole="">
            <v:imagedata r:id="rId15" o:title=""/>
          </v:shape>
          <o:OLEObject Type="Embed" ProgID="Equation.DSMT4" ShapeID="_x0000_i1029" DrawAspect="Content" ObjectID="_1743754652" r:id="rId16"/>
        </w:object>
      </w:r>
    </w:p>
    <w:p w14:paraId="6A323AA1" w14:textId="77777777" w:rsidR="00444A27" w:rsidRDefault="00444A27" w:rsidP="00CD5626">
      <w:pPr>
        <w:pStyle w:val="NoSpacing"/>
        <w:rPr>
          <w:rFonts w:ascii="Calibri" w:hAnsi="Calibri" w:cs="Calibri"/>
        </w:rPr>
      </w:pPr>
    </w:p>
    <w:p w14:paraId="708980D5" w14:textId="75FF4B63" w:rsidR="00645885" w:rsidRDefault="00444A27" w:rsidP="00E15917">
      <w:pPr>
        <w:pStyle w:val="NoSpacing"/>
        <w:rPr>
          <w:rFonts w:ascii="Calibri" w:hAnsi="Calibri" w:cs="Calibri"/>
        </w:rPr>
      </w:pPr>
      <w:r>
        <w:rPr>
          <w:rFonts w:ascii="Calibri" w:hAnsi="Calibri" w:cs="Calibri"/>
        </w:rPr>
        <w:t>we can say,</w:t>
      </w:r>
      <w:r w:rsidR="006A7CCE">
        <w:rPr>
          <w:rFonts w:ascii="Calibri" w:hAnsi="Calibri" w:cs="Calibri"/>
        </w:rPr>
        <w:t xml:space="preserve"> </w:t>
      </w:r>
    </w:p>
    <w:p w14:paraId="7CF7ADBD" w14:textId="77777777" w:rsidR="00444A27" w:rsidRDefault="00444A27" w:rsidP="00E15917">
      <w:pPr>
        <w:pStyle w:val="NoSpacing"/>
      </w:pPr>
    </w:p>
    <w:p w14:paraId="136BA435" w14:textId="53D9C0B4" w:rsidR="00C3233E" w:rsidRDefault="000B393E" w:rsidP="00E15917">
      <w:pPr>
        <w:pStyle w:val="NoSpacing"/>
      </w:pPr>
      <w:r w:rsidRPr="00335419">
        <w:rPr>
          <w:position w:val="-14"/>
        </w:rPr>
        <w:object w:dxaOrig="5380" w:dyaOrig="400" w14:anchorId="70102B6B">
          <v:shape id="_x0000_i1030" type="#_x0000_t75" style="width:269.45pt;height:20.2pt" o:ole="">
            <v:imagedata r:id="rId17" o:title=""/>
          </v:shape>
          <o:OLEObject Type="Embed" ProgID="Equation.DSMT4" ShapeID="_x0000_i1030" DrawAspect="Content" ObjectID="_1743754653" r:id="rId18"/>
        </w:object>
      </w:r>
    </w:p>
    <w:p w14:paraId="63C299D2" w14:textId="3B9404BA" w:rsidR="000B393E" w:rsidRDefault="000B393E" w:rsidP="00E15917">
      <w:pPr>
        <w:pStyle w:val="NoSpacing"/>
      </w:pPr>
    </w:p>
    <w:p w14:paraId="38861B94" w14:textId="62C57BD9" w:rsidR="000B393E" w:rsidRPr="000B393E" w:rsidRDefault="000B393E" w:rsidP="00E15917">
      <w:pPr>
        <w:pStyle w:val="NoSpacing"/>
      </w:pPr>
      <w:r w:rsidRPr="00CF0B2D">
        <w:rPr>
          <w:color w:val="0000FF"/>
        </w:rPr>
        <w:t>They say we’ll assume the acceptor/donor levels are completely ionized, so that n</w:t>
      </w:r>
      <w:r w:rsidRPr="00CF0B2D">
        <w:rPr>
          <w:color w:val="0000FF"/>
          <w:vertAlign w:val="subscript"/>
        </w:rPr>
        <w:t>d</w:t>
      </w:r>
      <w:r w:rsidRPr="00CF0B2D">
        <w:rPr>
          <w:color w:val="0000FF"/>
        </w:rPr>
        <w:t>(x) = p</w:t>
      </w:r>
      <w:r w:rsidRPr="00CF0B2D">
        <w:rPr>
          <w:color w:val="0000FF"/>
          <w:vertAlign w:val="subscript"/>
        </w:rPr>
        <w:t>a</w:t>
      </w:r>
      <w:r w:rsidRPr="00CF0B2D">
        <w:rPr>
          <w:color w:val="0000FF"/>
        </w:rPr>
        <w:t>(x) = 0.  As you’ll recall, we found this to be a good approximation in the Thermal Equilibrium properties file</w:t>
      </w:r>
      <w:r w:rsidR="00CF0B2D">
        <w:rPr>
          <w:color w:val="0000FF"/>
        </w:rPr>
        <w:t xml:space="preserve"> in the previous folder</w:t>
      </w:r>
      <w:r w:rsidRPr="00CF0B2D">
        <w:rPr>
          <w:color w:val="0000FF"/>
        </w:rPr>
        <w:t xml:space="preserve"> when the number of extrinsic carriers is much larger than the number of intrinsic carriers.</w:t>
      </w:r>
      <w:r>
        <w:t xml:space="preserve">  </w:t>
      </w:r>
      <w:r w:rsidR="00444A27">
        <w:t>So now</w:t>
      </w:r>
      <w:r>
        <w:t xml:space="preserve"> we have:</w:t>
      </w:r>
    </w:p>
    <w:p w14:paraId="17FC7410" w14:textId="77777777" w:rsidR="00C3233E" w:rsidRDefault="00C3233E" w:rsidP="00E15917">
      <w:pPr>
        <w:pStyle w:val="NoSpacing"/>
      </w:pPr>
    </w:p>
    <w:p w14:paraId="00E971A0" w14:textId="2370AD51" w:rsidR="00645885" w:rsidRDefault="000B393E" w:rsidP="00E15917">
      <w:pPr>
        <w:pStyle w:val="NoSpacing"/>
      </w:pPr>
      <w:r w:rsidRPr="00645885">
        <w:rPr>
          <w:position w:val="-14"/>
        </w:rPr>
        <w:object w:dxaOrig="3879" w:dyaOrig="400" w14:anchorId="3ABC506D">
          <v:shape id="_x0000_i1031" type="#_x0000_t75" style="width:194.2pt;height:20.2pt" o:ole="" o:bordertopcolor="teal" o:borderleftcolor="teal" o:borderbottomcolor="teal" o:borderrightcolor="teal">
            <v:imagedata r:id="rId19" o:title=""/>
            <w10:bordertop type="single" width="8"/>
            <w10:borderleft type="single" width="8"/>
            <w10:borderbottom type="single" width="8"/>
            <w10:borderright type="single" width="8"/>
          </v:shape>
          <o:OLEObject Type="Embed" ProgID="Equation.DSMT4" ShapeID="_x0000_i1031" DrawAspect="Content" ObjectID="_1743754654" r:id="rId20"/>
        </w:object>
      </w:r>
    </w:p>
    <w:p w14:paraId="0437E22E" w14:textId="5510A8BE" w:rsidR="00E15917" w:rsidRDefault="00E15917" w:rsidP="00E15917">
      <w:pPr>
        <w:pStyle w:val="NoSpacing"/>
      </w:pPr>
    </w:p>
    <w:p w14:paraId="7B266D71" w14:textId="34E98D17" w:rsidR="00645885" w:rsidRDefault="00645885" w:rsidP="00E15917">
      <w:pPr>
        <w:pStyle w:val="NoSpacing"/>
      </w:pPr>
      <w:r>
        <w:t>The charge density is related to the potential via Maxwell’s equation</w:t>
      </w:r>
      <w:r w:rsidR="00D861E9">
        <w:t xml:space="preserve"> (in faux Gaussian units)</w:t>
      </w:r>
      <w:r>
        <w:t>:</w:t>
      </w:r>
      <w:r w:rsidR="00C02F79">
        <w:t xml:space="preserve"> </w:t>
      </w:r>
    </w:p>
    <w:p w14:paraId="4430670E" w14:textId="0FEE529D" w:rsidR="00645885" w:rsidRDefault="00645885" w:rsidP="00E15917">
      <w:pPr>
        <w:pStyle w:val="NoSpacing"/>
      </w:pPr>
    </w:p>
    <w:p w14:paraId="44E4124C" w14:textId="07585A9F" w:rsidR="00645885" w:rsidRDefault="00D861E9" w:rsidP="00E15917">
      <w:pPr>
        <w:pStyle w:val="NoSpacing"/>
      </w:pPr>
      <w:r w:rsidRPr="00D861E9">
        <w:rPr>
          <w:position w:val="-24"/>
        </w:rPr>
        <w:object w:dxaOrig="1939" w:dyaOrig="620" w14:anchorId="7C794B2C">
          <v:shape id="_x0000_i1032" type="#_x0000_t75" style="width:97.1pt;height:31.1pt" o:ole="" o:bordertopcolor="#0070c0" o:borderleftcolor="#0070c0" o:borderbottomcolor="#0070c0" o:borderrightcolor="#0070c0">
            <v:imagedata r:id="rId21" o:title=""/>
            <w10:bordertop type="single" width="8"/>
            <w10:borderleft type="single" width="8"/>
            <w10:borderbottom type="single" width="8"/>
            <w10:borderright type="single" width="8"/>
          </v:shape>
          <o:OLEObject Type="Embed" ProgID="Equation.DSMT4" ShapeID="_x0000_i1032" DrawAspect="Content" ObjectID="_1743754655" r:id="rId22"/>
        </w:object>
      </w:r>
    </w:p>
    <w:p w14:paraId="2B5D62D4" w14:textId="38A51B09" w:rsidR="00D861E9" w:rsidRDefault="00D861E9" w:rsidP="00E15917">
      <w:pPr>
        <w:pStyle w:val="NoSpacing"/>
      </w:pPr>
    </w:p>
    <w:p w14:paraId="5659D507" w14:textId="77777777" w:rsidR="00BC12EA" w:rsidRDefault="00D861E9" w:rsidP="003521FF">
      <w:pPr>
        <w:pStyle w:val="NoSpacing"/>
      </w:pPr>
      <w:r>
        <w:t>We also have boundary conditions.  We will presume that far from the interface</w:t>
      </w:r>
      <w:r w:rsidR="006E5193">
        <w:t>,</w:t>
      </w:r>
      <w:r>
        <w:t xml:space="preserve"> </w:t>
      </w:r>
      <w:r w:rsidR="006E5193">
        <w:t>the semiconductors act like their normal selves</w:t>
      </w:r>
      <w:r w:rsidR="00033F2C">
        <w:t>: the donor level electrons are all up in the conduction band, and the acceptor level holes are all down in the valence band.</w:t>
      </w:r>
      <w:r w:rsidR="006E5193">
        <w:t xml:space="preserve">  </w:t>
      </w:r>
      <w:r w:rsidR="00BC12EA">
        <w:t>So,</w:t>
      </w:r>
    </w:p>
    <w:p w14:paraId="0AAD79EA" w14:textId="77777777" w:rsidR="00BC12EA" w:rsidRDefault="00BC12EA" w:rsidP="003521FF">
      <w:pPr>
        <w:pStyle w:val="NoSpacing"/>
      </w:pPr>
    </w:p>
    <w:p w14:paraId="57101E80" w14:textId="10C2264C" w:rsidR="00BC12EA" w:rsidRDefault="00BC12EA" w:rsidP="003521FF">
      <w:pPr>
        <w:pStyle w:val="NoSpacing"/>
      </w:pPr>
      <w:r w:rsidRPr="002474E0">
        <w:rPr>
          <w:position w:val="-12"/>
        </w:rPr>
        <w:object w:dxaOrig="6240" w:dyaOrig="360" w14:anchorId="62E481BB">
          <v:shape id="_x0000_i1033" type="#_x0000_t75" style="width:312pt;height:18pt" o:ole="" o:bordertopcolor="teal" o:borderleftcolor="teal" o:borderbottomcolor="teal" o:borderrightcolor="teal">
            <v:imagedata r:id="rId23" o:title=""/>
            <w10:bordertop type="single" width="8"/>
            <w10:borderleft type="single" width="8"/>
            <w10:borderbottom type="single" width="8"/>
            <w10:borderright type="single" width="8"/>
          </v:shape>
          <o:OLEObject Type="Embed" ProgID="Equation.DSMT4" ShapeID="_x0000_i1033" DrawAspect="Content" ObjectID="_1743754656" r:id="rId24"/>
        </w:object>
      </w:r>
    </w:p>
    <w:p w14:paraId="0343E40A" w14:textId="222F60E0" w:rsidR="00BC12EA" w:rsidRDefault="00BC12EA" w:rsidP="003521FF">
      <w:pPr>
        <w:pStyle w:val="NoSpacing"/>
      </w:pPr>
    </w:p>
    <w:p w14:paraId="19503A3F" w14:textId="44625874" w:rsidR="00033F2C" w:rsidRDefault="00444A27" w:rsidP="00E15917">
      <w:pPr>
        <w:pStyle w:val="NoSpacing"/>
      </w:pPr>
      <w:r>
        <w:t>With these boxed equations, and the generic formulas for the carrier densities n</w:t>
      </w:r>
      <w:r>
        <w:rPr>
          <w:vertAlign w:val="subscript"/>
        </w:rPr>
        <w:t>c</w:t>
      </w:r>
      <w:r>
        <w:t>, p</w:t>
      </w:r>
      <w:r>
        <w:rPr>
          <w:vertAlign w:val="subscript"/>
        </w:rPr>
        <w:t>v</w:t>
      </w:r>
      <w:r>
        <w:t xml:space="preserve">, we can solve for the potential, charge density, and densities.  Before we do, let’s consider a few useful corrolaries.  </w:t>
      </w:r>
      <w:r w:rsidR="003521FF">
        <w:t xml:space="preserve">From </w:t>
      </w:r>
      <w:r>
        <w:t>the boundary conditions</w:t>
      </w:r>
      <w:r w:rsidR="00BC12EA">
        <w:t xml:space="preserve"> and the</w:t>
      </w:r>
      <w:r w:rsidR="003521FF">
        <w:t xml:space="preserve"> </w:t>
      </w:r>
      <w:r w:rsidR="00BC12EA">
        <w:t>formulas for n</w:t>
      </w:r>
      <w:r w:rsidR="00BC12EA">
        <w:rPr>
          <w:vertAlign w:val="subscript"/>
        </w:rPr>
        <w:t>c</w:t>
      </w:r>
      <w:r w:rsidR="00BC12EA">
        <w:t>(x,T) and p</w:t>
      </w:r>
      <w:r w:rsidR="00BC12EA">
        <w:rPr>
          <w:vertAlign w:val="subscript"/>
        </w:rPr>
        <w:t>v</w:t>
      </w:r>
      <w:r w:rsidR="00BC12EA">
        <w:t>(x,T)</w:t>
      </w:r>
      <w:r w:rsidR="003521FF">
        <w:t>, we can write the net potential difference across the two semiconductors</w:t>
      </w:r>
      <w:r w:rsidR="00560F7E">
        <w:t xml:space="preserve"> in terms of the carrier densities. </w:t>
      </w:r>
      <w:r w:rsidR="00BC12EA">
        <w:t xml:space="preserve"> Equating the products of both sides,</w:t>
      </w:r>
    </w:p>
    <w:p w14:paraId="5D0D9DE5" w14:textId="6E6F4A0F" w:rsidR="00560F7E" w:rsidRDefault="00560F7E" w:rsidP="00E15917">
      <w:pPr>
        <w:pStyle w:val="NoSpacing"/>
      </w:pPr>
    </w:p>
    <w:p w14:paraId="3E79028F" w14:textId="6879EF8B" w:rsidR="00560F7E" w:rsidRPr="00D861E9" w:rsidRDefault="00BC12EA" w:rsidP="00E15917">
      <w:pPr>
        <w:pStyle w:val="NoSpacing"/>
      </w:pPr>
      <w:r w:rsidRPr="00BC12EA">
        <w:rPr>
          <w:position w:val="-168"/>
        </w:rPr>
        <w:object w:dxaOrig="4900" w:dyaOrig="2720" w14:anchorId="42A57638">
          <v:shape id="_x0000_i1034" type="#_x0000_t75" style="width:245.45pt;height:135.8pt" o:ole="">
            <v:imagedata r:id="rId25" o:title=""/>
          </v:shape>
          <o:OLEObject Type="Embed" ProgID="Equation.DSMT4" ShapeID="_x0000_i1034" DrawAspect="Content" ObjectID="_1743754657" r:id="rId26"/>
        </w:object>
      </w:r>
    </w:p>
    <w:p w14:paraId="4820A26D" w14:textId="1FAFD3D7" w:rsidR="00645885" w:rsidRDefault="00645885" w:rsidP="00E15917">
      <w:pPr>
        <w:pStyle w:val="NoSpacing"/>
      </w:pPr>
    </w:p>
    <w:p w14:paraId="375E9D39" w14:textId="61D6E197" w:rsidR="00560F7E" w:rsidRDefault="00560F7E" w:rsidP="00E15917">
      <w:pPr>
        <w:pStyle w:val="NoSpacing"/>
      </w:pPr>
      <w:r>
        <w:t>So we have</w:t>
      </w:r>
      <w:r w:rsidR="007E5BFA">
        <w:t xml:space="preserve"> a handy relation</w:t>
      </w:r>
      <w:r w:rsidR="00811729">
        <w:t xml:space="preserve"> for </w:t>
      </w:r>
      <w:r w:rsidR="00811729">
        <w:rPr>
          <w:rFonts w:ascii="Calibri" w:hAnsi="Calibri" w:cs="Calibri"/>
        </w:rPr>
        <w:t>Δφ</w:t>
      </w:r>
      <w:r w:rsidR="00811729">
        <w:t xml:space="preserve"> = </w:t>
      </w:r>
      <w:r w:rsidR="00811729">
        <w:rPr>
          <w:rFonts w:ascii="Calibri" w:hAnsi="Calibri" w:cs="Calibri"/>
        </w:rPr>
        <w:t>φ</w:t>
      </w:r>
      <w:r w:rsidR="00811729">
        <w:t>(</w:t>
      </w:r>
      <w:r w:rsidR="00811729">
        <w:rPr>
          <w:rFonts w:ascii="Calibri" w:hAnsi="Calibri" w:cs="Calibri"/>
        </w:rPr>
        <w:t>∞</w:t>
      </w:r>
      <w:r w:rsidR="00811729">
        <w:t xml:space="preserve">) – </w:t>
      </w:r>
      <w:r w:rsidR="00811729">
        <w:rPr>
          <w:rFonts w:ascii="Calibri" w:hAnsi="Calibri" w:cs="Calibri"/>
        </w:rPr>
        <w:t>φ</w:t>
      </w:r>
      <w:r w:rsidR="00811729">
        <w:t>(-</w:t>
      </w:r>
      <w:r w:rsidR="00811729">
        <w:rPr>
          <w:rFonts w:ascii="Calibri" w:hAnsi="Calibri" w:cs="Calibri"/>
        </w:rPr>
        <w:t>∞</w:t>
      </w:r>
      <w:r w:rsidR="00811729">
        <w:t>)</w:t>
      </w:r>
      <w:r>
        <w:t>:</w:t>
      </w:r>
    </w:p>
    <w:p w14:paraId="6E79D9C3" w14:textId="53A41010" w:rsidR="00560F7E" w:rsidRDefault="00560F7E" w:rsidP="00E15917">
      <w:pPr>
        <w:pStyle w:val="NoSpacing"/>
      </w:pPr>
    </w:p>
    <w:p w14:paraId="58092A53" w14:textId="5ABE7896" w:rsidR="00560F7E" w:rsidRDefault="004613AA" w:rsidP="00E15917">
      <w:pPr>
        <w:pStyle w:val="NoSpacing"/>
      </w:pPr>
      <w:r w:rsidRPr="00560F7E">
        <w:rPr>
          <w:position w:val="-34"/>
        </w:rPr>
        <w:object w:dxaOrig="3580" w:dyaOrig="800" w14:anchorId="3E971B65">
          <v:shape id="_x0000_i1035" type="#_x0000_t75" style="width:169.65pt;height:38.2pt" o:ole="" filled="t" fillcolor="#cfc">
            <v:imagedata r:id="rId27" o:title=""/>
          </v:shape>
          <o:OLEObject Type="Embed" ProgID="Equation.DSMT4" ShapeID="_x0000_i1035" DrawAspect="Content" ObjectID="_1743754658" r:id="rId28"/>
        </w:object>
      </w:r>
    </w:p>
    <w:p w14:paraId="0D3E51B3" w14:textId="2AD0F6BA" w:rsidR="00560F7E" w:rsidRDefault="00560F7E" w:rsidP="00E15917">
      <w:pPr>
        <w:pStyle w:val="NoSpacing"/>
      </w:pPr>
    </w:p>
    <w:p w14:paraId="5F7E3C47" w14:textId="321AD282" w:rsidR="00560F7E" w:rsidRPr="00892036" w:rsidRDefault="00851094" w:rsidP="00E15917">
      <w:pPr>
        <w:pStyle w:val="NoSpacing"/>
        <w:rPr>
          <w:color w:val="0066FF"/>
        </w:rPr>
      </w:pPr>
      <w:r w:rsidRPr="00892036">
        <w:rPr>
          <w:color w:val="0066FF"/>
        </w:rPr>
        <w:t>For Si, we found that N</w:t>
      </w:r>
      <w:r w:rsidRPr="00892036">
        <w:rPr>
          <w:color w:val="0066FF"/>
          <w:vertAlign w:val="subscript"/>
        </w:rPr>
        <w:t>c</w:t>
      </w:r>
      <w:r w:rsidRPr="00892036">
        <w:rPr>
          <w:color w:val="0066FF"/>
        </w:rPr>
        <w:t xml:space="preserve"> ~ P</w:t>
      </w:r>
      <w:r w:rsidRPr="00892036">
        <w:rPr>
          <w:color w:val="0066FF"/>
          <w:vertAlign w:val="subscript"/>
        </w:rPr>
        <w:t>v</w:t>
      </w:r>
      <w:r w:rsidRPr="00892036">
        <w:rPr>
          <w:color w:val="0066FF"/>
        </w:rPr>
        <w:t xml:space="preserve"> ~ 10</w:t>
      </w:r>
      <w:r w:rsidRPr="00892036">
        <w:rPr>
          <w:color w:val="0066FF"/>
          <w:vertAlign w:val="superscript"/>
        </w:rPr>
        <w:t>2</w:t>
      </w:r>
      <w:r w:rsidR="0032517A" w:rsidRPr="00892036">
        <w:rPr>
          <w:color w:val="0066FF"/>
          <w:vertAlign w:val="superscript"/>
        </w:rPr>
        <w:t>5</w:t>
      </w:r>
      <w:r w:rsidR="0032517A" w:rsidRPr="00892036">
        <w:rPr>
          <w:color w:val="0066FF"/>
        </w:rPr>
        <w:t xml:space="preserve"> carriers/m</w:t>
      </w:r>
      <w:r w:rsidR="0032517A" w:rsidRPr="00892036">
        <w:rPr>
          <w:color w:val="0066FF"/>
          <w:vertAlign w:val="superscript"/>
        </w:rPr>
        <w:t>3</w:t>
      </w:r>
      <w:r w:rsidR="0032517A" w:rsidRPr="00892036">
        <w:rPr>
          <w:color w:val="0066FF"/>
        </w:rPr>
        <w:t xml:space="preserve"> and N</w:t>
      </w:r>
      <w:r w:rsidR="0032517A" w:rsidRPr="00892036">
        <w:rPr>
          <w:color w:val="0066FF"/>
          <w:vertAlign w:val="subscript"/>
        </w:rPr>
        <w:t>d</w:t>
      </w:r>
      <w:r w:rsidR="0032517A" w:rsidRPr="00892036">
        <w:rPr>
          <w:color w:val="0066FF"/>
        </w:rPr>
        <w:t>, N</w:t>
      </w:r>
      <w:r w:rsidR="0032517A" w:rsidRPr="00892036">
        <w:rPr>
          <w:color w:val="0066FF"/>
          <w:vertAlign w:val="subscript"/>
        </w:rPr>
        <w:t>a</w:t>
      </w:r>
      <w:r w:rsidR="0032517A" w:rsidRPr="00892036">
        <w:rPr>
          <w:color w:val="0066FF"/>
        </w:rPr>
        <w:t xml:space="preserve"> ~ 10</w:t>
      </w:r>
      <w:r w:rsidR="0032517A" w:rsidRPr="00892036">
        <w:rPr>
          <w:color w:val="0066FF"/>
          <w:vertAlign w:val="superscript"/>
        </w:rPr>
        <w:t>22</w:t>
      </w:r>
      <w:r w:rsidR="0032517A" w:rsidRPr="00892036">
        <w:rPr>
          <w:color w:val="0066FF"/>
        </w:rPr>
        <w:t xml:space="preserve"> carriers/m</w:t>
      </w:r>
      <w:r w:rsidR="0032517A" w:rsidRPr="00892036">
        <w:rPr>
          <w:color w:val="0066FF"/>
          <w:vertAlign w:val="superscript"/>
        </w:rPr>
        <w:t>3</w:t>
      </w:r>
      <w:r w:rsidR="0032517A" w:rsidRPr="00892036">
        <w:rPr>
          <w:color w:val="0066FF"/>
        </w:rPr>
        <w:t xml:space="preserve">.  So </w:t>
      </w:r>
      <w:r w:rsidR="0032517A" w:rsidRPr="00892036">
        <w:rPr>
          <w:rFonts w:ascii="Calibri" w:hAnsi="Calibri" w:cs="Calibri"/>
          <w:color w:val="0066FF"/>
        </w:rPr>
        <w:t>Δφ</w:t>
      </w:r>
      <w:r w:rsidR="0032517A" w:rsidRPr="00892036">
        <w:rPr>
          <w:color w:val="0066FF"/>
        </w:rPr>
        <w:t xml:space="preserve"> ~ |e|</w:t>
      </w:r>
      <w:r w:rsidR="0032517A" w:rsidRPr="00892036">
        <w:rPr>
          <w:color w:val="0066FF"/>
          <w:vertAlign w:val="superscript"/>
        </w:rPr>
        <w:t>-1</w:t>
      </w:r>
      <w:r w:rsidR="0032517A" w:rsidRPr="00892036">
        <w:rPr>
          <w:color w:val="0066FF"/>
        </w:rPr>
        <w:t>[E</w:t>
      </w:r>
      <w:r w:rsidR="0032517A" w:rsidRPr="00892036">
        <w:rPr>
          <w:color w:val="0066FF"/>
          <w:vertAlign w:val="subscript"/>
        </w:rPr>
        <w:t>g</w:t>
      </w:r>
      <w:r w:rsidR="0032517A" w:rsidRPr="00892036">
        <w:rPr>
          <w:color w:val="0066FF"/>
        </w:rPr>
        <w:t xml:space="preserve"> + k</w:t>
      </w:r>
      <w:r w:rsidR="0032517A" w:rsidRPr="00892036">
        <w:rPr>
          <w:color w:val="0066FF"/>
          <w:vertAlign w:val="subscript"/>
        </w:rPr>
        <w:t>B</w:t>
      </w:r>
      <w:r w:rsidR="0032517A" w:rsidRPr="00892036">
        <w:rPr>
          <w:color w:val="0066FF"/>
        </w:rPr>
        <w:t>Tln(10</w:t>
      </w:r>
      <w:r w:rsidR="0032517A" w:rsidRPr="00892036">
        <w:rPr>
          <w:color w:val="0066FF"/>
          <w:vertAlign w:val="superscript"/>
        </w:rPr>
        <w:t>-3</w:t>
      </w:r>
      <w:r w:rsidR="0032517A" w:rsidRPr="00892036">
        <w:rPr>
          <w:color w:val="0066FF"/>
        </w:rPr>
        <w:t>)] ~ |e|</w:t>
      </w:r>
      <w:r w:rsidR="0032517A" w:rsidRPr="00892036">
        <w:rPr>
          <w:color w:val="0066FF"/>
          <w:vertAlign w:val="superscript"/>
        </w:rPr>
        <w:t>-1</w:t>
      </w:r>
      <w:r w:rsidR="0032517A" w:rsidRPr="00892036">
        <w:rPr>
          <w:color w:val="0066FF"/>
        </w:rPr>
        <w:t>E</w:t>
      </w:r>
      <w:r w:rsidR="0032517A" w:rsidRPr="00892036">
        <w:rPr>
          <w:color w:val="0066FF"/>
          <w:vertAlign w:val="subscript"/>
        </w:rPr>
        <w:t>g</w:t>
      </w:r>
      <w:r w:rsidR="0032517A" w:rsidRPr="00892036">
        <w:rPr>
          <w:color w:val="0066FF"/>
        </w:rPr>
        <w:t>, as E</w:t>
      </w:r>
      <w:r w:rsidR="0032517A" w:rsidRPr="00892036">
        <w:rPr>
          <w:color w:val="0066FF"/>
          <w:vertAlign w:val="subscript"/>
        </w:rPr>
        <w:t>g</w:t>
      </w:r>
      <w:r w:rsidR="0032517A" w:rsidRPr="00892036">
        <w:rPr>
          <w:color w:val="0066FF"/>
        </w:rPr>
        <w:t xml:space="preserve"> ~ eV, and k</w:t>
      </w:r>
      <w:r w:rsidR="0032517A" w:rsidRPr="00892036">
        <w:rPr>
          <w:color w:val="0066FF"/>
          <w:vertAlign w:val="subscript"/>
        </w:rPr>
        <w:t>B</w:t>
      </w:r>
      <w:r w:rsidR="0032517A" w:rsidRPr="00892036">
        <w:rPr>
          <w:color w:val="0066FF"/>
        </w:rPr>
        <w:t>T ~ 0.</w:t>
      </w:r>
      <w:r w:rsidR="00892036" w:rsidRPr="00892036">
        <w:rPr>
          <w:color w:val="0066FF"/>
        </w:rPr>
        <w:t>0</w:t>
      </w:r>
      <w:r w:rsidR="004752C0">
        <w:rPr>
          <w:color w:val="0066FF"/>
        </w:rPr>
        <w:t>3</w:t>
      </w:r>
      <w:r w:rsidR="0032517A" w:rsidRPr="00892036">
        <w:rPr>
          <w:color w:val="0066FF"/>
        </w:rPr>
        <w:t xml:space="preserve">eV.  </w:t>
      </w:r>
      <w:r w:rsidR="006031DA">
        <w:t xml:space="preserve">This tells us that </w:t>
      </w:r>
      <w:r w:rsidR="00C11FA6">
        <w:t>e</w:t>
      </w:r>
      <w:r w:rsidR="00C11FA6">
        <w:rPr>
          <w:rFonts w:ascii="Calibri" w:hAnsi="Calibri" w:cs="Calibri"/>
        </w:rPr>
        <w:t>Δφ</w:t>
      </w:r>
      <w:r w:rsidR="00C11FA6">
        <w:t xml:space="preserve"> = </w:t>
      </w:r>
      <w:r w:rsidR="006031DA">
        <w:t>e[</w:t>
      </w:r>
      <w:r w:rsidR="006031DA">
        <w:rPr>
          <w:rFonts w:ascii="Calibri" w:hAnsi="Calibri" w:cs="Calibri"/>
        </w:rPr>
        <w:t>φ</w:t>
      </w:r>
      <w:r w:rsidR="006031DA">
        <w:t>(</w:t>
      </w:r>
      <w:r w:rsidR="006031DA">
        <w:rPr>
          <w:rFonts w:ascii="Calibri" w:hAnsi="Calibri" w:cs="Calibri"/>
        </w:rPr>
        <w:t>∞</w:t>
      </w:r>
      <w:r w:rsidR="006031DA">
        <w:t xml:space="preserve">) – </w:t>
      </w:r>
      <w:r w:rsidR="006031DA">
        <w:rPr>
          <w:rFonts w:ascii="Calibri" w:hAnsi="Calibri" w:cs="Calibri"/>
        </w:rPr>
        <w:t>φ</w:t>
      </w:r>
      <w:r w:rsidR="006031DA">
        <w:t>(-</w:t>
      </w:r>
      <w:r w:rsidR="006031DA">
        <w:rPr>
          <w:rFonts w:ascii="Calibri" w:hAnsi="Calibri" w:cs="Calibri"/>
        </w:rPr>
        <w:t>∞</w:t>
      </w:r>
      <w:r w:rsidR="006031DA">
        <w:t>)] is on the order of the energy gap E</w:t>
      </w:r>
      <w:r w:rsidR="006031DA">
        <w:rPr>
          <w:vertAlign w:val="subscript"/>
        </w:rPr>
        <w:t>g</w:t>
      </w:r>
      <w:r w:rsidR="006031DA">
        <w:t xml:space="preserve"> &gt;&gt; k</w:t>
      </w:r>
      <w:r w:rsidR="006031DA">
        <w:rPr>
          <w:vertAlign w:val="subscript"/>
        </w:rPr>
        <w:t>B</w:t>
      </w:r>
      <w:r w:rsidR="006031DA">
        <w:t xml:space="preserve">T.  </w:t>
      </w:r>
      <w:r w:rsidR="0051240C">
        <w:t xml:space="preserve">And this also says that </w:t>
      </w:r>
      <w:r w:rsidR="0051240C">
        <w:rPr>
          <w:rFonts w:ascii="Calibri" w:hAnsi="Calibri" w:cs="Calibri"/>
        </w:rPr>
        <w:t>Δφ</w:t>
      </w:r>
      <w:r w:rsidR="0051240C">
        <w:t xml:space="preserve"> itself is on the order of volts.  </w:t>
      </w:r>
      <w:r w:rsidR="007E5BFA">
        <w:t>Using the same boxed boundary condition statements, we can write n</w:t>
      </w:r>
      <w:r w:rsidR="007E5BFA">
        <w:rPr>
          <w:vertAlign w:val="subscript"/>
        </w:rPr>
        <w:t>c</w:t>
      </w:r>
      <w:r w:rsidR="007E5BFA">
        <w:t xml:space="preserve"> and p</w:t>
      </w:r>
      <w:r w:rsidR="007E5BFA">
        <w:rPr>
          <w:vertAlign w:val="subscript"/>
        </w:rPr>
        <w:t>v</w:t>
      </w:r>
      <w:r w:rsidR="007E5BFA">
        <w:t xml:space="preserve"> </w:t>
      </w:r>
      <w:r w:rsidR="002474E0">
        <w:t>without direct recourse to the chemical potential</w:t>
      </w:r>
      <w:r w:rsidR="007E5BFA">
        <w:t>:</w:t>
      </w:r>
    </w:p>
    <w:p w14:paraId="73B64AEA" w14:textId="7834FE39" w:rsidR="007E5BFA" w:rsidRDefault="007E5BFA" w:rsidP="00E15917">
      <w:pPr>
        <w:pStyle w:val="NoSpacing"/>
      </w:pPr>
    </w:p>
    <w:p w14:paraId="2409C1C7" w14:textId="67049494" w:rsidR="002474E0" w:rsidRDefault="00C3233E" w:rsidP="00E15917">
      <w:pPr>
        <w:pStyle w:val="NoSpacing"/>
      </w:pPr>
      <w:r w:rsidRPr="00335419">
        <w:rPr>
          <w:position w:val="-72"/>
        </w:rPr>
        <w:object w:dxaOrig="4099" w:dyaOrig="1560" w14:anchorId="46E20AB0">
          <v:shape id="_x0000_i1036" type="#_x0000_t75" style="width:222.55pt;height:84.55pt" o:ole="">
            <v:imagedata r:id="rId29" o:title=""/>
          </v:shape>
          <o:OLEObject Type="Embed" ProgID="Equation.DSMT4" ShapeID="_x0000_i1036" DrawAspect="Content" ObjectID="_1743754659" r:id="rId30"/>
        </w:object>
      </w:r>
    </w:p>
    <w:p w14:paraId="1D077DD6" w14:textId="43734A9E" w:rsidR="002474E0" w:rsidRDefault="002474E0" w:rsidP="00E15917">
      <w:pPr>
        <w:pStyle w:val="NoSpacing"/>
      </w:pPr>
    </w:p>
    <w:p w14:paraId="39025B00" w14:textId="565FCE0C" w:rsidR="002474E0" w:rsidRDefault="002474E0" w:rsidP="00E15917">
      <w:pPr>
        <w:pStyle w:val="NoSpacing"/>
      </w:pPr>
      <w:r>
        <w:t>and,</w:t>
      </w:r>
      <w:r w:rsidR="00B863C3">
        <w:t xml:space="preserve"> </w:t>
      </w:r>
    </w:p>
    <w:p w14:paraId="480FEAC6" w14:textId="77777777" w:rsidR="002474E0" w:rsidRDefault="002474E0" w:rsidP="00E15917">
      <w:pPr>
        <w:pStyle w:val="NoSpacing"/>
      </w:pPr>
    </w:p>
    <w:p w14:paraId="64528214" w14:textId="1E18AC2F" w:rsidR="007E5BFA" w:rsidRDefault="00C11FA6" w:rsidP="00E15917">
      <w:pPr>
        <w:pStyle w:val="NoSpacing"/>
      </w:pPr>
      <w:r w:rsidRPr="002474E0">
        <w:rPr>
          <w:position w:val="-72"/>
        </w:rPr>
        <w:object w:dxaOrig="4080" w:dyaOrig="1560" w14:anchorId="558E1E30">
          <v:shape id="_x0000_i1037" type="#_x0000_t75" style="width:201.8pt;height:76.35pt" o:ole="">
            <v:imagedata r:id="rId31" o:title=""/>
          </v:shape>
          <o:OLEObject Type="Embed" ProgID="Equation.DSMT4" ShapeID="_x0000_i1037" DrawAspect="Content" ObjectID="_1743754660" r:id="rId32"/>
        </w:object>
      </w:r>
    </w:p>
    <w:p w14:paraId="7F50088E" w14:textId="3C652081" w:rsidR="002474E0" w:rsidRDefault="002474E0" w:rsidP="00E15917">
      <w:pPr>
        <w:pStyle w:val="NoSpacing"/>
      </w:pPr>
    </w:p>
    <w:p w14:paraId="0E9CC484" w14:textId="30911178" w:rsidR="002474E0" w:rsidRDefault="002474E0" w:rsidP="00E15917">
      <w:pPr>
        <w:pStyle w:val="NoSpacing"/>
      </w:pPr>
      <w:r>
        <w:t>So,</w:t>
      </w:r>
    </w:p>
    <w:p w14:paraId="4857F65E" w14:textId="719362D1" w:rsidR="002474E0" w:rsidRDefault="002474E0" w:rsidP="00E15917">
      <w:pPr>
        <w:pStyle w:val="NoSpacing"/>
      </w:pPr>
    </w:p>
    <w:p w14:paraId="3E42D0A1" w14:textId="244E931B" w:rsidR="002474E0" w:rsidRPr="007E5BFA" w:rsidRDefault="00C11FA6" w:rsidP="00E15917">
      <w:pPr>
        <w:pStyle w:val="NoSpacing"/>
      </w:pPr>
      <w:r w:rsidRPr="002474E0">
        <w:rPr>
          <w:position w:val="-32"/>
        </w:rPr>
        <w:object w:dxaOrig="2480" w:dyaOrig="760" w14:anchorId="269C6EC9">
          <v:shape id="_x0000_i1038" type="#_x0000_t75" style="width:123.8pt;height:37.65pt" o:ole="" filled="t" fillcolor="#cfc">
            <v:imagedata r:id="rId33" o:title=""/>
          </v:shape>
          <o:OLEObject Type="Embed" ProgID="Equation.DSMT4" ShapeID="_x0000_i1038" DrawAspect="Content" ObjectID="_1743754661" r:id="rId34"/>
        </w:object>
      </w:r>
    </w:p>
    <w:p w14:paraId="60A751E2" w14:textId="03EA8C3A" w:rsidR="00560F7E" w:rsidRDefault="00560F7E" w:rsidP="00E15917">
      <w:pPr>
        <w:pStyle w:val="NoSpacing"/>
      </w:pPr>
    </w:p>
    <w:p w14:paraId="58124F4E" w14:textId="2E559290" w:rsidR="002474E0" w:rsidRDefault="00444A27" w:rsidP="00E15917">
      <w:pPr>
        <w:pStyle w:val="NoSpacing"/>
      </w:pPr>
      <w:r>
        <w:t xml:space="preserve">We can approximately solve the Poisson equation by approximating the charge density profile.  </w:t>
      </w:r>
      <w:r w:rsidR="003050EB">
        <w:t xml:space="preserve">Let’s fill these results into </w:t>
      </w:r>
      <w:r w:rsidR="003050EB">
        <w:rPr>
          <w:rFonts w:ascii="Calibri" w:hAnsi="Calibri" w:cs="Calibri"/>
        </w:rPr>
        <w:t>ρ</w:t>
      </w:r>
      <w:r w:rsidR="003050EB">
        <w:t xml:space="preserve">(x).  </w:t>
      </w:r>
    </w:p>
    <w:p w14:paraId="0B02AA50" w14:textId="77777777" w:rsidR="003050EB" w:rsidRDefault="003050EB" w:rsidP="00E15917">
      <w:pPr>
        <w:pStyle w:val="NoSpacing"/>
      </w:pPr>
    </w:p>
    <w:p w14:paraId="45566E03" w14:textId="5FBF9C8E" w:rsidR="00560F7E" w:rsidRDefault="00691BFF" w:rsidP="00E15917">
      <w:pPr>
        <w:pStyle w:val="NoSpacing"/>
      </w:pPr>
      <w:r w:rsidRPr="006031DA">
        <w:rPr>
          <w:position w:val="-114"/>
        </w:rPr>
        <w:object w:dxaOrig="6540" w:dyaOrig="1980" w14:anchorId="7B2B4CE8">
          <v:shape id="_x0000_i1039" type="#_x0000_t75" style="width:318pt;height:96.55pt" o:ole="">
            <v:imagedata r:id="rId35" o:title=""/>
          </v:shape>
          <o:OLEObject Type="Embed" ProgID="Equation.DSMT4" ShapeID="_x0000_i1039" DrawAspect="Content" ObjectID="_1743754662" r:id="rId36"/>
        </w:object>
      </w:r>
    </w:p>
    <w:p w14:paraId="5F18A0DC" w14:textId="77777777" w:rsidR="006031DA" w:rsidRDefault="006031DA" w:rsidP="00E15917">
      <w:pPr>
        <w:pStyle w:val="NoSpacing"/>
      </w:pPr>
    </w:p>
    <w:p w14:paraId="3C819D90" w14:textId="2B32CDFC" w:rsidR="00560F7E" w:rsidRDefault="006031DA" w:rsidP="00E15917">
      <w:pPr>
        <w:pStyle w:val="NoSpacing"/>
        <w:rPr>
          <w:rFonts w:ascii="Calibri" w:hAnsi="Calibri" w:cs="Calibri"/>
        </w:rPr>
      </w:pPr>
      <w:r>
        <w:t xml:space="preserve">So can see that when |x| </w:t>
      </w:r>
      <w:r>
        <w:rPr>
          <w:rFonts w:ascii="Calibri" w:hAnsi="Calibri" w:cs="Calibri"/>
        </w:rPr>
        <w:t>→</w:t>
      </w:r>
      <w:r>
        <w:t xml:space="preserve"> </w:t>
      </w:r>
      <w:r>
        <w:rPr>
          <w:rFonts w:ascii="Calibri" w:hAnsi="Calibri" w:cs="Calibri"/>
        </w:rPr>
        <w:t>∞, we have (remember e is negative):</w:t>
      </w:r>
      <w:r w:rsidR="00C11FA6">
        <w:rPr>
          <w:rFonts w:ascii="Calibri" w:hAnsi="Calibri" w:cs="Calibri"/>
        </w:rPr>
        <w:t xml:space="preserve">  </w:t>
      </w:r>
    </w:p>
    <w:p w14:paraId="77FD69C8" w14:textId="4FD01E28" w:rsidR="006031DA" w:rsidRDefault="006031DA" w:rsidP="00E15917">
      <w:pPr>
        <w:pStyle w:val="NoSpacing"/>
        <w:rPr>
          <w:rFonts w:ascii="Calibri" w:hAnsi="Calibri" w:cs="Calibri"/>
        </w:rPr>
      </w:pPr>
    </w:p>
    <w:p w14:paraId="7E21D226" w14:textId="3B4DBB59" w:rsidR="006031DA" w:rsidRDefault="000D4BC2" w:rsidP="00E15917">
      <w:pPr>
        <w:pStyle w:val="NoSpacing"/>
      </w:pPr>
      <w:r w:rsidRPr="008C2171">
        <w:rPr>
          <w:position w:val="-136"/>
        </w:rPr>
        <w:object w:dxaOrig="7180" w:dyaOrig="2840" w14:anchorId="7B977D8A">
          <v:shape id="_x0000_i1040" type="#_x0000_t75" style="width:342pt;height:135.25pt" o:ole="">
            <v:imagedata r:id="rId37" o:title=""/>
          </v:shape>
          <o:OLEObject Type="Embed" ProgID="Equation.DSMT4" ShapeID="_x0000_i1040" DrawAspect="Content" ObjectID="_1743754663" r:id="rId38"/>
        </w:object>
      </w:r>
    </w:p>
    <w:p w14:paraId="662900C6" w14:textId="4E0F8D1C" w:rsidR="00560F7E" w:rsidRDefault="00560F7E" w:rsidP="00E15917">
      <w:pPr>
        <w:pStyle w:val="NoSpacing"/>
      </w:pPr>
    </w:p>
    <w:p w14:paraId="45A55B90" w14:textId="7C92C79B" w:rsidR="00560F7E" w:rsidRDefault="006031DA" w:rsidP="00E15917">
      <w:pPr>
        <w:pStyle w:val="NoSpacing"/>
        <w:rPr>
          <w:rFonts w:ascii="Calibri" w:hAnsi="Calibri" w:cs="Calibri"/>
        </w:rPr>
      </w:pPr>
      <w:r>
        <w:t xml:space="preserve">since </w:t>
      </w:r>
      <w:r w:rsidR="00605309">
        <w:t>|e|</w:t>
      </w:r>
      <w:r>
        <w:rPr>
          <w:rFonts w:ascii="Calibri" w:hAnsi="Calibri" w:cs="Calibri"/>
        </w:rPr>
        <w:t>Δφ</w:t>
      </w:r>
      <w:r>
        <w:t xml:space="preserve"> ~ E</w:t>
      </w:r>
      <w:r>
        <w:rPr>
          <w:vertAlign w:val="subscript"/>
        </w:rPr>
        <w:t>g</w:t>
      </w:r>
      <w:r>
        <w:t xml:space="preserve"> &gt;&gt; </w:t>
      </w:r>
      <w:r>
        <w:rPr>
          <w:rFonts w:ascii="Calibri" w:hAnsi="Calibri" w:cs="Calibri"/>
        </w:rPr>
        <w:t>k</w:t>
      </w:r>
      <w:r>
        <w:rPr>
          <w:rFonts w:ascii="Calibri" w:hAnsi="Calibri" w:cs="Calibri"/>
          <w:vertAlign w:val="subscript"/>
        </w:rPr>
        <w:t>B</w:t>
      </w:r>
      <w:r>
        <w:rPr>
          <w:rFonts w:ascii="Calibri" w:hAnsi="Calibri" w:cs="Calibri"/>
        </w:rPr>
        <w:t xml:space="preserve">T.  But for </w:t>
      </w:r>
      <w:r w:rsidR="00C7412C">
        <w:rPr>
          <w:rFonts w:ascii="Calibri" w:hAnsi="Calibri" w:cs="Calibri"/>
        </w:rPr>
        <w:t xml:space="preserve">x close to the interface, </w:t>
      </w:r>
      <w:r w:rsidR="00C11FA6">
        <w:rPr>
          <w:rFonts w:ascii="Calibri" w:hAnsi="Calibri" w:cs="Calibri"/>
        </w:rPr>
        <w:t xml:space="preserve">recalling e is negative, </w:t>
      </w:r>
      <w:r w:rsidR="00C7412C">
        <w:rPr>
          <w:rFonts w:ascii="Calibri" w:hAnsi="Calibri" w:cs="Calibri"/>
        </w:rPr>
        <w:t>we have:</w:t>
      </w:r>
      <w:r w:rsidR="00605309">
        <w:rPr>
          <w:rFonts w:ascii="Calibri" w:hAnsi="Calibri" w:cs="Calibri"/>
        </w:rPr>
        <w:t xml:space="preserve"> </w:t>
      </w:r>
    </w:p>
    <w:p w14:paraId="0A9863FB" w14:textId="13403F0C" w:rsidR="00C7412C" w:rsidRDefault="00C7412C" w:rsidP="00E15917">
      <w:pPr>
        <w:pStyle w:val="NoSpacing"/>
        <w:rPr>
          <w:rFonts w:ascii="Calibri" w:hAnsi="Calibri" w:cs="Calibri"/>
        </w:rPr>
      </w:pPr>
    </w:p>
    <w:p w14:paraId="22BF5EF1" w14:textId="3FC5070E" w:rsidR="00C7412C" w:rsidRPr="006031DA" w:rsidRDefault="00C7412C" w:rsidP="00E15917">
      <w:pPr>
        <w:pStyle w:val="NoSpacing"/>
      </w:pPr>
      <w:r w:rsidRPr="00C7412C">
        <w:rPr>
          <w:position w:val="-112"/>
        </w:rPr>
        <w:object w:dxaOrig="6380" w:dyaOrig="2420" w14:anchorId="63CE05FC">
          <v:shape id="_x0000_i1041" type="#_x0000_t75" style="width:319.1pt;height:121.1pt" o:ole="">
            <v:imagedata r:id="rId39" o:title=""/>
          </v:shape>
          <o:OLEObject Type="Embed" ProgID="Equation.DSMT4" ShapeID="_x0000_i1041" DrawAspect="Content" ObjectID="_1743754664" r:id="rId40"/>
        </w:object>
      </w:r>
    </w:p>
    <w:p w14:paraId="3D927452" w14:textId="04AC80DA" w:rsidR="00560F7E" w:rsidRDefault="00560F7E" w:rsidP="00E15917">
      <w:pPr>
        <w:pStyle w:val="NoSpacing"/>
      </w:pPr>
    </w:p>
    <w:p w14:paraId="42B17179" w14:textId="59DB7F5F" w:rsidR="00E45667" w:rsidRPr="00E45667" w:rsidRDefault="00C7412C" w:rsidP="00E15917">
      <w:pPr>
        <w:pStyle w:val="NoSpacing"/>
      </w:pPr>
      <w:r>
        <w:t xml:space="preserve">So it kind of looks like the picture we drew up above, where all the </w:t>
      </w:r>
      <w:r w:rsidR="00E45667">
        <w:t>donators that were on the right jump to the left, filling in the holes present.  And likewise, all the holes that were on the left, jump to the right.  Introducing the to-be determined cut-offs for the asymptotic behavior, -d</w:t>
      </w:r>
      <w:r w:rsidR="00E45667">
        <w:rPr>
          <w:vertAlign w:val="subscript"/>
        </w:rPr>
        <w:t>p</w:t>
      </w:r>
      <w:r w:rsidR="00E45667">
        <w:t>, and d</w:t>
      </w:r>
      <w:r w:rsidR="00E45667">
        <w:rPr>
          <w:vertAlign w:val="subscript"/>
        </w:rPr>
        <w:t>n</w:t>
      </w:r>
      <w:r w:rsidR="00E45667">
        <w:t>, we can approximate the charge density as:</w:t>
      </w:r>
    </w:p>
    <w:p w14:paraId="3B19EF88" w14:textId="56782B9E" w:rsidR="00E45667" w:rsidRDefault="00E45667" w:rsidP="00E15917">
      <w:pPr>
        <w:pStyle w:val="NoSpacing"/>
      </w:pPr>
    </w:p>
    <w:p w14:paraId="5B2E3572" w14:textId="5B68968B" w:rsidR="00E45667" w:rsidRDefault="00933819" w:rsidP="00E15917">
      <w:pPr>
        <w:pStyle w:val="NoSpacing"/>
      </w:pPr>
      <w:r w:rsidRPr="00E45667">
        <w:rPr>
          <w:position w:val="-72"/>
        </w:rPr>
        <w:object w:dxaOrig="3580" w:dyaOrig="1560" w14:anchorId="0EB7357D">
          <v:shape id="_x0000_i1042" type="#_x0000_t75" style="width:178.35pt;height:78pt" o:ole="" filled="t" fillcolor="#cfc">
            <v:imagedata r:id="rId41" o:title=""/>
          </v:shape>
          <o:OLEObject Type="Embed" ProgID="Equation.DSMT4" ShapeID="_x0000_i1042" DrawAspect="Content" ObjectID="_1743754665" r:id="rId42"/>
        </w:object>
      </w:r>
    </w:p>
    <w:p w14:paraId="4352B1B4" w14:textId="77777777" w:rsidR="00E45667" w:rsidRDefault="00E45667" w:rsidP="00E15917">
      <w:pPr>
        <w:pStyle w:val="NoSpacing"/>
      </w:pPr>
    </w:p>
    <w:p w14:paraId="37AA630C" w14:textId="31CF4EB9" w:rsidR="0032517A" w:rsidRDefault="0060673A" w:rsidP="004613AA">
      <w:pPr>
        <w:pStyle w:val="NoSpacing"/>
      </w:pPr>
      <w:r>
        <w:t>This equation basically says that all the electrons in the n-type drop out of the conduction and donor bands (an empty conduction and donor band would mean net charge (density) -eN</w:t>
      </w:r>
      <w:r>
        <w:rPr>
          <w:vertAlign w:val="subscript"/>
        </w:rPr>
        <w:t>d</w:t>
      </w:r>
      <w:r>
        <w:t>) and fill up the valence and acceptor bands (a full valence and acceptor band would mean a net charge (density) of eN</w:t>
      </w:r>
      <w:r>
        <w:rPr>
          <w:vertAlign w:val="subscript"/>
        </w:rPr>
        <w:t>a</w:t>
      </w:r>
      <w:r>
        <w:t>).  Charge conservation will require N</w:t>
      </w:r>
      <w:r>
        <w:rPr>
          <w:vertAlign w:val="subscript"/>
        </w:rPr>
        <w:t>a</w:t>
      </w:r>
      <w:r>
        <w:t>d</w:t>
      </w:r>
      <w:r>
        <w:rPr>
          <w:vertAlign w:val="subscript"/>
        </w:rPr>
        <w:t>p</w:t>
      </w:r>
      <w:r>
        <w:t xml:space="preserve"> = N</w:t>
      </w:r>
      <w:r>
        <w:rPr>
          <w:vertAlign w:val="subscript"/>
        </w:rPr>
        <w:t>d</w:t>
      </w:r>
      <w:r>
        <w:t>d</w:t>
      </w:r>
      <w:r>
        <w:rPr>
          <w:vertAlign w:val="subscript"/>
        </w:rPr>
        <w:t>n</w:t>
      </w:r>
      <w:r>
        <w:t xml:space="preserve">.  </w:t>
      </w:r>
      <w:r w:rsidR="004613AA">
        <w:t>Parenthetically, do note that despite the fact that there is excess/net charge only within the region -d</w:t>
      </w:r>
      <w:r w:rsidR="004613AA">
        <w:rPr>
          <w:vertAlign w:val="subscript"/>
        </w:rPr>
        <w:t>p</w:t>
      </w:r>
      <w:r w:rsidR="004613AA">
        <w:t xml:space="preserve"> &lt; x &lt; d</w:t>
      </w:r>
      <w:r w:rsidR="004613AA">
        <w:rPr>
          <w:vertAlign w:val="subscript"/>
        </w:rPr>
        <w:t>n</w:t>
      </w:r>
      <w:r w:rsidR="004613AA">
        <w:t xml:space="preserve">, there is </w:t>
      </w:r>
      <w:r w:rsidR="004613AA" w:rsidRPr="00602C34">
        <w:rPr>
          <w:i/>
        </w:rPr>
        <w:t>mobile</w:t>
      </w:r>
      <w:r w:rsidR="004613AA">
        <w:t xml:space="preserve"> charge only </w:t>
      </w:r>
      <w:r w:rsidR="004613AA" w:rsidRPr="004613AA">
        <w:rPr>
          <w:i/>
        </w:rPr>
        <w:t>outside</w:t>
      </w:r>
      <w:r w:rsidR="004613AA">
        <w:t xml:space="preserve"> this region.  This is because inside the region -d</w:t>
      </w:r>
      <w:r w:rsidR="004613AA">
        <w:rPr>
          <w:vertAlign w:val="subscript"/>
        </w:rPr>
        <w:t>p</w:t>
      </w:r>
      <w:r w:rsidR="004613AA">
        <w:t xml:space="preserve"> &lt; x &lt; d</w:t>
      </w:r>
      <w:r w:rsidR="004613AA">
        <w:rPr>
          <w:vertAlign w:val="subscript"/>
        </w:rPr>
        <w:t>n</w:t>
      </w:r>
      <w:r w:rsidR="004613AA">
        <w:t xml:space="preserve">, the valence band is full, and the conduction band empty. </w:t>
      </w:r>
      <w:r w:rsidR="0032517A">
        <w:t xml:space="preserve"> </w:t>
      </w:r>
      <w:r w:rsidR="004613AA">
        <w:t xml:space="preserve">So we can get no net current here.  Thus, this region is called the </w:t>
      </w:r>
      <w:r w:rsidR="004613AA" w:rsidRPr="00602C34">
        <w:rPr>
          <w:b/>
          <w:i/>
        </w:rPr>
        <w:t>depletion zone</w:t>
      </w:r>
      <w:r w:rsidR="004613AA">
        <w:t xml:space="preserve">.  </w:t>
      </w:r>
      <w:r w:rsidR="0032517A">
        <w:t>Can see 2</w:t>
      </w:r>
      <w:r w:rsidR="0032517A" w:rsidRPr="0032517A">
        <w:rPr>
          <w:vertAlign w:val="superscript"/>
        </w:rPr>
        <w:t>nd</w:t>
      </w:r>
      <w:r w:rsidR="0032517A">
        <w:t xml:space="preserve"> picture at top of page, or I’ll just draw it again here.  </w:t>
      </w:r>
    </w:p>
    <w:p w14:paraId="76517D12" w14:textId="77777777" w:rsidR="0032517A" w:rsidRDefault="0032517A" w:rsidP="004613AA">
      <w:pPr>
        <w:pStyle w:val="NoSpacing"/>
      </w:pPr>
    </w:p>
    <w:p w14:paraId="5BDD4AD2" w14:textId="21E23063" w:rsidR="000E6B33" w:rsidRDefault="000E6B33" w:rsidP="004613AA">
      <w:pPr>
        <w:pStyle w:val="NoSpacing"/>
      </w:pPr>
      <w:r w:rsidRPr="000E6B33">
        <w:rPr>
          <w:noProof/>
        </w:rPr>
        <w:drawing>
          <wp:inline distT="0" distB="0" distL="0" distR="0" wp14:anchorId="7D67116A" wp14:editId="45596AD3">
            <wp:extent cx="6137564" cy="2028151"/>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3"/>
                    <a:stretch>
                      <a:fillRect/>
                    </a:stretch>
                  </pic:blipFill>
                  <pic:spPr>
                    <a:xfrm>
                      <a:off x="0" y="0"/>
                      <a:ext cx="6164992" cy="2037215"/>
                    </a:xfrm>
                    <a:prstGeom prst="rect">
                      <a:avLst/>
                    </a:prstGeom>
                  </pic:spPr>
                </pic:pic>
              </a:graphicData>
            </a:graphic>
          </wp:inline>
        </w:drawing>
      </w:r>
    </w:p>
    <w:p w14:paraId="43DB519E" w14:textId="77777777" w:rsidR="000E6B33" w:rsidRDefault="000E6B33" w:rsidP="004613AA">
      <w:pPr>
        <w:pStyle w:val="NoSpacing"/>
      </w:pPr>
    </w:p>
    <w:p w14:paraId="68D7D9B9" w14:textId="3C5D93D7" w:rsidR="00C7412C" w:rsidRDefault="004613AA" w:rsidP="004613AA">
      <w:pPr>
        <w:pStyle w:val="NoSpacing"/>
      </w:pPr>
      <w:r>
        <w:t xml:space="preserve">One could also say that this is why we have an electric field in this region – because the charges are immobile and therefore cannot screen the field away, like they can outside this region where the potential is constant/field is zero.  But anyway, filling this into Maxwell’s equation, we have: </w:t>
      </w:r>
    </w:p>
    <w:p w14:paraId="2806D34B" w14:textId="28E4A36A" w:rsidR="00933819" w:rsidRDefault="00933819" w:rsidP="00E15917">
      <w:pPr>
        <w:pStyle w:val="NoSpacing"/>
      </w:pPr>
    </w:p>
    <w:p w14:paraId="665DD1B4" w14:textId="357D7549" w:rsidR="00933819" w:rsidRDefault="0060673A" w:rsidP="00E15917">
      <w:pPr>
        <w:pStyle w:val="NoSpacing"/>
      </w:pPr>
      <w:r w:rsidRPr="00933819">
        <w:rPr>
          <w:position w:val="-104"/>
        </w:rPr>
        <w:object w:dxaOrig="4300" w:dyaOrig="2200" w14:anchorId="3A0C3C8E">
          <v:shape id="_x0000_i1043" type="#_x0000_t75" style="width:215.45pt;height:110.2pt" o:ole="">
            <v:imagedata r:id="rId44" o:title=""/>
          </v:shape>
          <o:OLEObject Type="Embed" ProgID="Equation.DSMT4" ShapeID="_x0000_i1043" DrawAspect="Content" ObjectID="_1743754666" r:id="rId45"/>
        </w:object>
      </w:r>
    </w:p>
    <w:p w14:paraId="5385A099" w14:textId="486EE399" w:rsidR="00933819" w:rsidRDefault="00933819" w:rsidP="00E15917">
      <w:pPr>
        <w:pStyle w:val="NoSpacing"/>
      </w:pPr>
    </w:p>
    <w:p w14:paraId="611E5280" w14:textId="5E3AFAC5" w:rsidR="00933819" w:rsidRDefault="00933819" w:rsidP="00E15917">
      <w:pPr>
        <w:pStyle w:val="NoSpacing"/>
      </w:pPr>
      <w:r>
        <w:lastRenderedPageBreak/>
        <w:t xml:space="preserve">So we just need to integrate this twice and satisfy the boundary conditions.  </w:t>
      </w:r>
      <w:r w:rsidR="007F143B">
        <w:t>Should have constants at the extremities and some 2</w:t>
      </w:r>
      <w:r w:rsidR="007F143B" w:rsidRPr="007F143B">
        <w:rPr>
          <w:vertAlign w:val="superscript"/>
        </w:rPr>
        <w:t>nd</w:t>
      </w:r>
      <w:r w:rsidR="007F143B">
        <w:t xml:space="preserve"> order polynomial in between.  So we could have something like,</w:t>
      </w:r>
    </w:p>
    <w:p w14:paraId="6552F11D" w14:textId="28B0604B" w:rsidR="007F143B" w:rsidRDefault="007F143B" w:rsidP="00E15917">
      <w:pPr>
        <w:pStyle w:val="NoSpacing"/>
      </w:pPr>
    </w:p>
    <w:p w14:paraId="116ADE36" w14:textId="0015129B" w:rsidR="007F143B" w:rsidRDefault="00647FCF" w:rsidP="00E15917">
      <w:pPr>
        <w:pStyle w:val="NoSpacing"/>
      </w:pPr>
      <w:r w:rsidRPr="007F143B">
        <w:rPr>
          <w:position w:val="-98"/>
        </w:rPr>
        <w:object w:dxaOrig="5600" w:dyaOrig="2079" w14:anchorId="4BDB839A">
          <v:shape id="_x0000_i1044" type="#_x0000_t75" style="width:278.75pt;height:104.2pt" o:ole="" filled="t" fillcolor="#cfc">
            <v:imagedata r:id="rId46" o:title=""/>
          </v:shape>
          <o:OLEObject Type="Embed" ProgID="Equation.DSMT4" ShapeID="_x0000_i1044" DrawAspect="Content" ObjectID="_1743754667" r:id="rId47"/>
        </w:object>
      </w:r>
    </w:p>
    <w:p w14:paraId="1AE8E87A" w14:textId="1FAC3475" w:rsidR="007F143B" w:rsidRDefault="007F143B" w:rsidP="00E15917">
      <w:pPr>
        <w:pStyle w:val="NoSpacing"/>
      </w:pPr>
    </w:p>
    <w:p w14:paraId="2C6534E3" w14:textId="568BAAF1" w:rsidR="007F143B" w:rsidRDefault="007F143B" w:rsidP="00E15917">
      <w:pPr>
        <w:pStyle w:val="NoSpacing"/>
      </w:pPr>
      <w:r>
        <w:t>Continuity and differentiability at x = 0 requires,</w:t>
      </w:r>
      <w:r w:rsidR="00647FCF">
        <w:t xml:space="preserve"> </w:t>
      </w:r>
    </w:p>
    <w:p w14:paraId="1A8292B3" w14:textId="1E428BEF" w:rsidR="007F143B" w:rsidRDefault="007F143B" w:rsidP="00E15917">
      <w:pPr>
        <w:pStyle w:val="NoSpacing"/>
      </w:pPr>
    </w:p>
    <w:p w14:paraId="79FF1E6C" w14:textId="13B54EFB" w:rsidR="007F143B" w:rsidRDefault="0019250C" w:rsidP="00E15917">
      <w:pPr>
        <w:pStyle w:val="NoSpacing"/>
      </w:pPr>
      <w:r w:rsidRPr="007F143B">
        <w:rPr>
          <w:position w:val="-110"/>
        </w:rPr>
        <w:object w:dxaOrig="5020" w:dyaOrig="2320" w14:anchorId="40CF2B7F">
          <v:shape id="_x0000_i1045" type="#_x0000_t75" style="width:251.45pt;height:116.2pt" o:ole="">
            <v:imagedata r:id="rId48" o:title=""/>
          </v:shape>
          <o:OLEObject Type="Embed" ProgID="Equation.DSMT4" ShapeID="_x0000_i1045" DrawAspect="Content" ObjectID="_1743754668" r:id="rId49"/>
        </w:object>
      </w:r>
    </w:p>
    <w:p w14:paraId="0DC75135" w14:textId="32832583" w:rsidR="007F143B" w:rsidRDefault="007F143B" w:rsidP="00E15917">
      <w:pPr>
        <w:pStyle w:val="NoSpacing"/>
      </w:pPr>
    </w:p>
    <w:p w14:paraId="6C42E276" w14:textId="43E137FD" w:rsidR="007F143B" w:rsidRDefault="007F143B" w:rsidP="00E15917">
      <w:pPr>
        <w:pStyle w:val="NoSpacing"/>
      </w:pPr>
      <w:r>
        <w:t>and,</w:t>
      </w:r>
    </w:p>
    <w:p w14:paraId="322DBDF7" w14:textId="1FDD7A49" w:rsidR="007F143B" w:rsidRDefault="007F143B" w:rsidP="00E15917">
      <w:pPr>
        <w:pStyle w:val="NoSpacing"/>
      </w:pPr>
    </w:p>
    <w:p w14:paraId="0EA8F5EC" w14:textId="1D09D805" w:rsidR="007F143B" w:rsidRDefault="00811729" w:rsidP="00E15917">
      <w:pPr>
        <w:pStyle w:val="NoSpacing"/>
      </w:pPr>
      <w:r w:rsidRPr="0019250C">
        <w:rPr>
          <w:position w:val="-64"/>
        </w:rPr>
        <w:object w:dxaOrig="3420" w:dyaOrig="1420" w14:anchorId="31CD2B78">
          <v:shape id="_x0000_i1046" type="#_x0000_t75" style="width:171.25pt;height:70.9pt" o:ole="">
            <v:imagedata r:id="rId50" o:title=""/>
          </v:shape>
          <o:OLEObject Type="Embed" ProgID="Equation.DSMT4" ShapeID="_x0000_i1046" DrawAspect="Content" ObjectID="_1743754669" r:id="rId51"/>
        </w:object>
      </w:r>
    </w:p>
    <w:p w14:paraId="1DB0F290" w14:textId="28564160" w:rsidR="00811729" w:rsidRDefault="00811729" w:rsidP="00E15917">
      <w:pPr>
        <w:pStyle w:val="NoSpacing"/>
      </w:pPr>
    </w:p>
    <w:p w14:paraId="1016C928" w14:textId="49661A19" w:rsidR="00811729" w:rsidRDefault="00811729" w:rsidP="00E15917">
      <w:pPr>
        <w:pStyle w:val="NoSpacing"/>
      </w:pPr>
      <w:r>
        <w:t xml:space="preserve">This latter condition is a statement of overall charge neutrality.  Putting </w:t>
      </w:r>
      <w:r w:rsidR="004613AA">
        <w:t xml:space="preserve">this </w:t>
      </w:r>
      <w:r>
        <w:t>into the former equation, we have:</w:t>
      </w:r>
    </w:p>
    <w:p w14:paraId="46C70AFA" w14:textId="448270E7" w:rsidR="00811729" w:rsidRDefault="00811729" w:rsidP="00E15917">
      <w:pPr>
        <w:pStyle w:val="NoSpacing"/>
      </w:pPr>
    </w:p>
    <w:p w14:paraId="5B321446" w14:textId="4A70AB5F" w:rsidR="00811729" w:rsidRDefault="00F86224" w:rsidP="00E15917">
      <w:pPr>
        <w:pStyle w:val="NoSpacing"/>
      </w:pPr>
      <w:r w:rsidRPr="00F86224">
        <w:rPr>
          <w:position w:val="-164"/>
        </w:rPr>
        <w:object w:dxaOrig="3760" w:dyaOrig="3400" w14:anchorId="2B40B0C6">
          <v:shape id="_x0000_i1047" type="#_x0000_t75" style="width:188.2pt;height:170.2pt" o:ole="">
            <v:imagedata r:id="rId52" o:title=""/>
          </v:shape>
          <o:OLEObject Type="Embed" ProgID="Equation.DSMT4" ShapeID="_x0000_i1047" DrawAspect="Content" ObjectID="_1743754670" r:id="rId53"/>
        </w:object>
      </w:r>
    </w:p>
    <w:p w14:paraId="71BC0F1F" w14:textId="317CE56B" w:rsidR="00811729" w:rsidRDefault="00811729" w:rsidP="00E15917">
      <w:pPr>
        <w:pStyle w:val="NoSpacing"/>
      </w:pPr>
    </w:p>
    <w:p w14:paraId="300FC22D" w14:textId="5C0B2829" w:rsidR="00F86224" w:rsidRDefault="00F86224" w:rsidP="00E15917">
      <w:pPr>
        <w:pStyle w:val="NoSpacing"/>
      </w:pPr>
      <w:r>
        <w:t>Solving for the other one, and altogether, we have:</w:t>
      </w:r>
    </w:p>
    <w:p w14:paraId="4F600309" w14:textId="6605E706" w:rsidR="00F86224" w:rsidRDefault="00F86224" w:rsidP="00E15917">
      <w:pPr>
        <w:pStyle w:val="NoSpacing"/>
      </w:pPr>
    </w:p>
    <w:p w14:paraId="0B7CCEC3" w14:textId="708AF51C" w:rsidR="00BF0E0F" w:rsidRDefault="00917855" w:rsidP="00E15917">
      <w:pPr>
        <w:pStyle w:val="NoSpacing"/>
      </w:pPr>
      <w:r w:rsidRPr="00917855">
        <w:rPr>
          <w:position w:val="-32"/>
        </w:rPr>
        <w:object w:dxaOrig="5740" w:dyaOrig="760" w14:anchorId="764E9F01">
          <v:shape id="_x0000_i1048" type="#_x0000_t75" style="width:287.45pt;height:38.2pt" o:ole="" filled="t" fillcolor="#cfc">
            <v:imagedata r:id="rId54" o:title=""/>
          </v:shape>
          <o:OLEObject Type="Embed" ProgID="Equation.DSMT4" ShapeID="_x0000_i1048" DrawAspect="Content" ObjectID="_1743754671" r:id="rId55"/>
        </w:object>
      </w:r>
    </w:p>
    <w:p w14:paraId="561AC474" w14:textId="5BEF7C1E" w:rsidR="00541E61" w:rsidRDefault="00541E61" w:rsidP="00E15917">
      <w:pPr>
        <w:pStyle w:val="NoSpacing"/>
      </w:pPr>
    </w:p>
    <w:p w14:paraId="0D796CE8" w14:textId="100E60E7" w:rsidR="00541E61" w:rsidRPr="00541E61" w:rsidRDefault="00536E32" w:rsidP="00E15917">
      <w:pPr>
        <w:pStyle w:val="NoSpacing"/>
      </w:pPr>
      <w:r>
        <w:t xml:space="preserve">And we’ll recall the formula for </w:t>
      </w:r>
      <w:r>
        <w:rPr>
          <w:rFonts w:ascii="Calibri" w:hAnsi="Calibri" w:cs="Calibri"/>
        </w:rPr>
        <w:t>Δφ</w:t>
      </w:r>
      <w:r>
        <w:t xml:space="preserve"> as well up above.  </w:t>
      </w:r>
      <w:r w:rsidR="00541E61">
        <w:t>Filling in typical N</w:t>
      </w:r>
      <w:r w:rsidR="00541E61">
        <w:rPr>
          <w:vertAlign w:val="subscript"/>
        </w:rPr>
        <w:t>a,d</w:t>
      </w:r>
      <w:r w:rsidR="00541E61">
        <w:t xml:space="preserve"> ~ 1/10</w:t>
      </w:r>
      <w:r w:rsidR="00541E61">
        <w:rPr>
          <w:vertAlign w:val="superscript"/>
        </w:rPr>
        <w:t>8</w:t>
      </w:r>
      <w:r w:rsidR="00541E61">
        <w:t xml:space="preserve"> atom, and </w:t>
      </w:r>
      <w:r w:rsidR="00541E61">
        <w:rPr>
          <w:rFonts w:ascii="Calibri" w:hAnsi="Calibri" w:cs="Calibri"/>
        </w:rPr>
        <w:t>Δφ</w:t>
      </w:r>
      <w:r w:rsidR="00541E61">
        <w:t xml:space="preserve"> ~ eV, and </w:t>
      </w:r>
      <w:r w:rsidR="00541E61">
        <w:rPr>
          <w:rFonts w:ascii="Calibri" w:hAnsi="Calibri" w:cs="Calibri"/>
        </w:rPr>
        <w:t>ε</w:t>
      </w:r>
      <w:r w:rsidR="00541E61">
        <w:t xml:space="preserve"> ~ 10, we get lengths of around 1nm or more.  </w:t>
      </w:r>
      <w:r w:rsidR="00F27488">
        <w:t>So now we have the potential profile, and the accumulated charge density, as well as the new energy levels incorporating this potential.</w:t>
      </w:r>
    </w:p>
    <w:p w14:paraId="57824459" w14:textId="3B850165" w:rsidR="00541E61" w:rsidRDefault="00541E61" w:rsidP="00E15917">
      <w:pPr>
        <w:pStyle w:val="NoSpacing"/>
      </w:pPr>
    </w:p>
    <w:p w14:paraId="4DBFEDCF" w14:textId="3918DCE9" w:rsidR="00501717" w:rsidRPr="000215CC" w:rsidRDefault="000215CC" w:rsidP="00E15917">
      <w:pPr>
        <w:pStyle w:val="NoSpacing"/>
        <w:rPr>
          <w:b/>
          <w:sz w:val="24"/>
          <w:szCs w:val="24"/>
        </w:rPr>
      </w:pPr>
      <w:r w:rsidRPr="000215CC">
        <w:rPr>
          <w:b/>
          <w:sz w:val="24"/>
          <w:szCs w:val="24"/>
        </w:rPr>
        <w:t>What if we don’t neglect the n</w:t>
      </w:r>
      <w:r w:rsidRPr="000215CC">
        <w:rPr>
          <w:b/>
          <w:sz w:val="24"/>
          <w:szCs w:val="24"/>
          <w:vertAlign w:val="subscript"/>
        </w:rPr>
        <w:t>i</w:t>
      </w:r>
      <w:r w:rsidRPr="000215CC">
        <w:rPr>
          <w:b/>
          <w:sz w:val="24"/>
          <w:szCs w:val="24"/>
          <w:vertAlign w:val="superscript"/>
        </w:rPr>
        <w:t>2</w:t>
      </w:r>
      <w:r w:rsidRPr="000215CC">
        <w:rPr>
          <w:b/>
          <w:sz w:val="24"/>
          <w:szCs w:val="24"/>
        </w:rPr>
        <w:t>/|</w:t>
      </w:r>
      <w:r w:rsidRPr="000215CC">
        <w:rPr>
          <w:rFonts w:ascii="Calibri" w:hAnsi="Calibri" w:cs="Calibri"/>
          <w:b/>
          <w:sz w:val="24"/>
          <w:szCs w:val="24"/>
        </w:rPr>
        <w:t>Δ</w:t>
      </w:r>
      <w:r w:rsidRPr="000215CC">
        <w:rPr>
          <w:b/>
          <w:sz w:val="24"/>
          <w:szCs w:val="24"/>
        </w:rPr>
        <w:t>N| contribution to electron, hole carrier densities?</w:t>
      </w:r>
    </w:p>
    <w:p w14:paraId="1D296AAF" w14:textId="16E7ECF6" w:rsidR="000215CC" w:rsidRPr="000215CC" w:rsidRDefault="000215CC" w:rsidP="00E15917">
      <w:pPr>
        <w:pStyle w:val="NoSpacing"/>
      </w:pPr>
      <w:r>
        <w:t>So recall some of the blue highlighted passages above where we said we were neglecting the</w:t>
      </w:r>
      <w:r w:rsidR="005F7126">
        <w:t xml:space="preserve"> extra</w:t>
      </w:r>
      <w:r>
        <w:t xml:space="preserve"> n</w:t>
      </w:r>
      <w:r>
        <w:rPr>
          <w:vertAlign w:val="subscript"/>
        </w:rPr>
        <w:t>i</w:t>
      </w:r>
      <w:r>
        <w:rPr>
          <w:vertAlign w:val="superscript"/>
        </w:rPr>
        <w:t>2</w:t>
      </w:r>
      <w:r>
        <w:t>/|</w:t>
      </w:r>
      <w:r>
        <w:rPr>
          <w:rFonts w:ascii="Calibri" w:hAnsi="Calibri" w:cs="Calibri"/>
        </w:rPr>
        <w:t>Δ</w:t>
      </w:r>
      <w:r>
        <w:t>N| contribution to the electron density</w:t>
      </w:r>
      <w:r w:rsidR="005F7126">
        <w:t>/hole density</w:t>
      </w:r>
      <w:r>
        <w:t xml:space="preserve"> in the p-type’s conduction</w:t>
      </w:r>
      <w:r w:rsidR="005F7126">
        <w:t>/valence</w:t>
      </w:r>
      <w:r>
        <w:t xml:space="preserve"> band, a</w:t>
      </w:r>
      <w:r w:rsidR="005F7126">
        <w:t>s well as the extra n</w:t>
      </w:r>
      <w:r w:rsidR="005F7126">
        <w:rPr>
          <w:vertAlign w:val="subscript"/>
        </w:rPr>
        <w:t>i</w:t>
      </w:r>
      <w:r w:rsidR="005F7126">
        <w:rPr>
          <w:vertAlign w:val="superscript"/>
        </w:rPr>
        <w:t>2</w:t>
      </w:r>
      <w:r w:rsidR="005F7126">
        <w:t>/|</w:t>
      </w:r>
      <w:r w:rsidR="005F7126">
        <w:rPr>
          <w:rFonts w:ascii="Calibri" w:hAnsi="Calibri" w:cs="Calibri"/>
        </w:rPr>
        <w:t>ΔN| contribution</w:t>
      </w:r>
      <w:r w:rsidR="005F7126">
        <w:t xml:space="preserve"> </w:t>
      </w:r>
      <w:r>
        <w:t xml:space="preserve">to the </w:t>
      </w:r>
      <w:r w:rsidR="005F7126">
        <w:t>electron/hole</w:t>
      </w:r>
      <w:r>
        <w:t xml:space="preserve"> density in the n-type’s </w:t>
      </w:r>
      <w:r w:rsidR="005F7126">
        <w:t>conduction/</w:t>
      </w:r>
      <w:r>
        <w:t>valence band.  I’m not going to mathematically work through the implications of undoing that assumption.  The upshot is</w:t>
      </w:r>
      <w:r w:rsidR="00E16F6D">
        <w:t xml:space="preserve"> something like this:</w:t>
      </w:r>
      <w:r w:rsidR="005F7126">
        <w:t xml:space="preserve"> </w:t>
      </w:r>
    </w:p>
    <w:p w14:paraId="4DC27BEC" w14:textId="77777777" w:rsidR="000215CC" w:rsidRDefault="000215CC" w:rsidP="00E15917">
      <w:pPr>
        <w:pStyle w:val="NoSpacing"/>
      </w:pPr>
    </w:p>
    <w:p w14:paraId="19FD065F" w14:textId="0CD9FB5D" w:rsidR="000215CC" w:rsidRDefault="00EF3159" w:rsidP="00E15917">
      <w:pPr>
        <w:pStyle w:val="NoSpacing"/>
      </w:pPr>
      <w:r w:rsidRPr="00EF3159">
        <w:rPr>
          <w:noProof/>
        </w:rPr>
        <w:drawing>
          <wp:inline distT="0" distB="0" distL="0" distR="0" wp14:anchorId="218CE67E" wp14:editId="706629DF">
            <wp:extent cx="6199909" cy="2020932"/>
            <wp:effectExtent l="0" t="0" r="0" b="0"/>
            <wp:docPr id="1" name="Picture 1"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a:blip r:embed="rId56"/>
                    <a:stretch>
                      <a:fillRect/>
                    </a:stretch>
                  </pic:blipFill>
                  <pic:spPr>
                    <a:xfrm>
                      <a:off x="0" y="0"/>
                      <a:ext cx="6228847" cy="2030365"/>
                    </a:xfrm>
                    <a:prstGeom prst="rect">
                      <a:avLst/>
                    </a:prstGeom>
                  </pic:spPr>
                </pic:pic>
              </a:graphicData>
            </a:graphic>
          </wp:inline>
        </w:drawing>
      </w:r>
    </w:p>
    <w:p w14:paraId="2184D07B" w14:textId="5CA4EB81" w:rsidR="000215CC" w:rsidRDefault="000215CC" w:rsidP="00E15917">
      <w:pPr>
        <w:pStyle w:val="NoSpacing"/>
      </w:pPr>
    </w:p>
    <w:p w14:paraId="3DEB9A37" w14:textId="351CEBF6" w:rsidR="00E16F6D" w:rsidRPr="00872D06" w:rsidRDefault="00E16F6D" w:rsidP="00E15917">
      <w:pPr>
        <w:pStyle w:val="NoSpacing"/>
      </w:pPr>
      <w:r>
        <w:t>where the N</w:t>
      </w:r>
      <w:r>
        <w:rPr>
          <w:vertAlign w:val="subscript"/>
        </w:rPr>
        <w:t>a</w:t>
      </w:r>
      <w:r>
        <w:t xml:space="preserve"> + n</w:t>
      </w:r>
      <w:r>
        <w:rPr>
          <w:vertAlign w:val="subscript"/>
        </w:rPr>
        <w:t>i</w:t>
      </w:r>
      <w:r>
        <w:rPr>
          <w:vertAlign w:val="superscript"/>
        </w:rPr>
        <w:t>2</w:t>
      </w:r>
      <w:r>
        <w:t>/N</w:t>
      </w:r>
      <w:r>
        <w:rPr>
          <w:vertAlign w:val="subscript"/>
        </w:rPr>
        <w:t>a</w:t>
      </w:r>
      <w:r>
        <w:t xml:space="preserve"> </w:t>
      </w:r>
      <w:r w:rsidR="007875AE">
        <w:rPr>
          <w:rFonts w:ascii="Cambria Math" w:hAnsi="Cambria Math"/>
        </w:rPr>
        <w:t>≈</w:t>
      </w:r>
      <w:r w:rsidR="007875AE">
        <w:t xml:space="preserve"> N</w:t>
      </w:r>
      <w:r w:rsidR="007875AE">
        <w:rPr>
          <w:vertAlign w:val="subscript"/>
        </w:rPr>
        <w:t>a</w:t>
      </w:r>
      <w:r w:rsidR="007875AE">
        <w:t xml:space="preserve"> </w:t>
      </w:r>
      <w:r>
        <w:t xml:space="preserve">holes in P’s valence band </w:t>
      </w:r>
      <w:r w:rsidR="001D0B14">
        <w:t>rapidly</w:t>
      </w:r>
      <w:r>
        <w:t xml:space="preserve"> diminishes</w:t>
      </w:r>
      <w:r w:rsidR="006861E4">
        <w:t xml:space="preserve"> over the course of the depletion zone</w:t>
      </w:r>
      <w:r>
        <w:t xml:space="preserve"> to the n</w:t>
      </w:r>
      <w:r>
        <w:rPr>
          <w:vertAlign w:val="subscript"/>
        </w:rPr>
        <w:t>i</w:t>
      </w:r>
      <w:r>
        <w:rPr>
          <w:vertAlign w:val="superscript"/>
        </w:rPr>
        <w:t>2</w:t>
      </w:r>
      <w:r>
        <w:t>/N</w:t>
      </w:r>
      <w:r>
        <w:rPr>
          <w:vertAlign w:val="subscript"/>
        </w:rPr>
        <w:t>d</w:t>
      </w:r>
      <w:r>
        <w:t xml:space="preserve"> holes in N’s valence band.  And the N</w:t>
      </w:r>
      <w:r>
        <w:rPr>
          <w:vertAlign w:val="subscript"/>
        </w:rPr>
        <w:t>d</w:t>
      </w:r>
      <w:r>
        <w:t xml:space="preserve"> + n</w:t>
      </w:r>
      <w:r>
        <w:rPr>
          <w:vertAlign w:val="subscript"/>
        </w:rPr>
        <w:t>i</w:t>
      </w:r>
      <w:r>
        <w:rPr>
          <w:vertAlign w:val="superscript"/>
        </w:rPr>
        <w:t>2</w:t>
      </w:r>
      <w:r>
        <w:t>/N</w:t>
      </w:r>
      <w:r>
        <w:rPr>
          <w:vertAlign w:val="subscript"/>
        </w:rPr>
        <w:t>d</w:t>
      </w:r>
      <w:r>
        <w:t xml:space="preserve"> </w:t>
      </w:r>
      <w:r w:rsidR="007875AE">
        <w:t xml:space="preserve"> </w:t>
      </w:r>
      <w:r w:rsidR="007875AE">
        <w:rPr>
          <w:rFonts w:ascii="Cambria Math" w:hAnsi="Cambria Math"/>
        </w:rPr>
        <w:t>≈</w:t>
      </w:r>
      <w:r w:rsidR="007875AE">
        <w:t xml:space="preserve"> N</w:t>
      </w:r>
      <w:r w:rsidR="007875AE">
        <w:rPr>
          <w:vertAlign w:val="subscript"/>
        </w:rPr>
        <w:t>d</w:t>
      </w:r>
      <w:r w:rsidR="007875AE">
        <w:t xml:space="preserve"> </w:t>
      </w:r>
      <w:r>
        <w:t xml:space="preserve">electrons in N’s conduction band </w:t>
      </w:r>
      <w:r w:rsidR="001D0B14">
        <w:t>rapidly</w:t>
      </w:r>
      <w:r>
        <w:t xml:space="preserve"> diminishes </w:t>
      </w:r>
      <w:r w:rsidR="006861E4">
        <w:t xml:space="preserve">over the course of the depletion zone </w:t>
      </w:r>
      <w:r>
        <w:t>to the n</w:t>
      </w:r>
      <w:r>
        <w:rPr>
          <w:vertAlign w:val="subscript"/>
        </w:rPr>
        <w:t>i</w:t>
      </w:r>
      <w:r>
        <w:rPr>
          <w:vertAlign w:val="superscript"/>
        </w:rPr>
        <w:t>2</w:t>
      </w:r>
      <w:r>
        <w:t>/N</w:t>
      </w:r>
      <w:r>
        <w:rPr>
          <w:vertAlign w:val="subscript"/>
        </w:rPr>
        <w:t>a</w:t>
      </w:r>
      <w:r>
        <w:t xml:space="preserve"> electrons in P’s conduction band.  </w:t>
      </w:r>
      <w:r w:rsidR="00872D06">
        <w:t>n</w:t>
      </w:r>
      <w:r w:rsidR="00872D06">
        <w:rPr>
          <w:vertAlign w:val="subscript"/>
        </w:rPr>
        <w:t>i</w:t>
      </w:r>
      <w:r w:rsidR="00872D06">
        <w:rPr>
          <w:vertAlign w:val="superscript"/>
        </w:rPr>
        <w:t>2</w:t>
      </w:r>
      <w:r w:rsidR="00872D06">
        <w:t>/|</w:t>
      </w:r>
      <w:r w:rsidR="00872D06">
        <w:rPr>
          <w:rFonts w:ascii="Calibri" w:hAnsi="Calibri" w:cs="Calibri"/>
        </w:rPr>
        <w:t>Δ</w:t>
      </w:r>
      <w:r w:rsidR="00872D06">
        <w:t>N| &lt;&lt; |</w:t>
      </w:r>
      <w:r w:rsidR="00872D06">
        <w:rPr>
          <w:rFonts w:ascii="Calibri" w:hAnsi="Calibri" w:cs="Calibri"/>
        </w:rPr>
        <w:t>Δ</w:t>
      </w:r>
      <w:r w:rsidR="00872D06">
        <w:t xml:space="preserve">N| of course, but the picture doesn’t do this </w:t>
      </w:r>
      <w:r w:rsidR="00FC1BA8">
        <w:t>inequality justice</w:t>
      </w:r>
      <w:r w:rsidR="00C23E78">
        <w:t>, so it looks like there’s a lot more electrons/holes in the depletion zone than there really are</w:t>
      </w:r>
      <w:r w:rsidR="00FC1BA8">
        <w:t xml:space="preserve">.  </w:t>
      </w:r>
      <w:r w:rsidR="00443DEA">
        <w:t xml:space="preserve">We will observe, that inside the depletion zone, there is a net charge density, and a consequent dipole moment.  But outside the depletion zone, everything is neutral.  </w:t>
      </w:r>
    </w:p>
    <w:sectPr w:rsidR="00E16F6D" w:rsidRPr="00872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173B4"/>
    <w:multiLevelType w:val="hybridMultilevel"/>
    <w:tmpl w:val="0D84D30C"/>
    <w:lvl w:ilvl="0" w:tplc="7B68B004">
      <w:numFmt w:val="bullet"/>
      <w:lvlText w:val="-"/>
      <w:lvlJc w:val="left"/>
      <w:pPr>
        <w:ind w:left="396" w:hanging="360"/>
      </w:pPr>
      <w:rPr>
        <w:rFonts w:ascii="Calibri" w:eastAsiaTheme="minorHAnsi" w:hAnsi="Calibri" w:cs="Calibri" w:hint="default"/>
      </w:rPr>
    </w:lvl>
    <w:lvl w:ilvl="1" w:tplc="04090003" w:tentative="1">
      <w:start w:val="1"/>
      <w:numFmt w:val="bullet"/>
      <w:lvlText w:val="o"/>
      <w:lvlJc w:val="left"/>
      <w:pPr>
        <w:ind w:left="1116" w:hanging="360"/>
      </w:pPr>
      <w:rPr>
        <w:rFonts w:ascii="Courier New" w:hAnsi="Courier New" w:cs="Courier New" w:hint="default"/>
      </w:rPr>
    </w:lvl>
    <w:lvl w:ilvl="2" w:tplc="04090005" w:tentative="1">
      <w:start w:val="1"/>
      <w:numFmt w:val="bullet"/>
      <w:lvlText w:val=""/>
      <w:lvlJc w:val="left"/>
      <w:pPr>
        <w:ind w:left="1836" w:hanging="360"/>
      </w:pPr>
      <w:rPr>
        <w:rFonts w:ascii="Wingdings" w:hAnsi="Wingdings" w:hint="default"/>
      </w:rPr>
    </w:lvl>
    <w:lvl w:ilvl="3" w:tplc="04090001" w:tentative="1">
      <w:start w:val="1"/>
      <w:numFmt w:val="bullet"/>
      <w:lvlText w:val=""/>
      <w:lvlJc w:val="left"/>
      <w:pPr>
        <w:ind w:left="2556" w:hanging="360"/>
      </w:pPr>
      <w:rPr>
        <w:rFonts w:ascii="Symbol" w:hAnsi="Symbol" w:hint="default"/>
      </w:rPr>
    </w:lvl>
    <w:lvl w:ilvl="4" w:tplc="04090003" w:tentative="1">
      <w:start w:val="1"/>
      <w:numFmt w:val="bullet"/>
      <w:lvlText w:val="o"/>
      <w:lvlJc w:val="left"/>
      <w:pPr>
        <w:ind w:left="3276" w:hanging="360"/>
      </w:pPr>
      <w:rPr>
        <w:rFonts w:ascii="Courier New" w:hAnsi="Courier New" w:cs="Courier New" w:hint="default"/>
      </w:rPr>
    </w:lvl>
    <w:lvl w:ilvl="5" w:tplc="04090005" w:tentative="1">
      <w:start w:val="1"/>
      <w:numFmt w:val="bullet"/>
      <w:lvlText w:val=""/>
      <w:lvlJc w:val="left"/>
      <w:pPr>
        <w:ind w:left="3996" w:hanging="360"/>
      </w:pPr>
      <w:rPr>
        <w:rFonts w:ascii="Wingdings" w:hAnsi="Wingdings" w:hint="default"/>
      </w:rPr>
    </w:lvl>
    <w:lvl w:ilvl="6" w:tplc="04090001" w:tentative="1">
      <w:start w:val="1"/>
      <w:numFmt w:val="bullet"/>
      <w:lvlText w:val=""/>
      <w:lvlJc w:val="left"/>
      <w:pPr>
        <w:ind w:left="4716" w:hanging="360"/>
      </w:pPr>
      <w:rPr>
        <w:rFonts w:ascii="Symbol" w:hAnsi="Symbol" w:hint="default"/>
      </w:rPr>
    </w:lvl>
    <w:lvl w:ilvl="7" w:tplc="04090003" w:tentative="1">
      <w:start w:val="1"/>
      <w:numFmt w:val="bullet"/>
      <w:lvlText w:val="o"/>
      <w:lvlJc w:val="left"/>
      <w:pPr>
        <w:ind w:left="5436" w:hanging="360"/>
      </w:pPr>
      <w:rPr>
        <w:rFonts w:ascii="Courier New" w:hAnsi="Courier New" w:cs="Courier New" w:hint="default"/>
      </w:rPr>
    </w:lvl>
    <w:lvl w:ilvl="8" w:tplc="04090005" w:tentative="1">
      <w:start w:val="1"/>
      <w:numFmt w:val="bullet"/>
      <w:lvlText w:val=""/>
      <w:lvlJc w:val="left"/>
      <w:pPr>
        <w:ind w:left="6156" w:hanging="360"/>
      </w:pPr>
      <w:rPr>
        <w:rFonts w:ascii="Wingdings" w:hAnsi="Wingdings" w:hint="default"/>
      </w:rPr>
    </w:lvl>
  </w:abstractNum>
  <w:num w:numId="1" w16cid:durableId="156528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497"/>
    <w:rsid w:val="000215CC"/>
    <w:rsid w:val="00033F2C"/>
    <w:rsid w:val="00044E20"/>
    <w:rsid w:val="00060978"/>
    <w:rsid w:val="000B393E"/>
    <w:rsid w:val="000D1594"/>
    <w:rsid w:val="000D4BC2"/>
    <w:rsid w:val="000E6B33"/>
    <w:rsid w:val="00100D87"/>
    <w:rsid w:val="0013416F"/>
    <w:rsid w:val="0019250C"/>
    <w:rsid w:val="001C3540"/>
    <w:rsid w:val="001D0B14"/>
    <w:rsid w:val="001D23CD"/>
    <w:rsid w:val="001E45DC"/>
    <w:rsid w:val="002346FC"/>
    <w:rsid w:val="002474E0"/>
    <w:rsid w:val="0025435F"/>
    <w:rsid w:val="00260D12"/>
    <w:rsid w:val="0026505A"/>
    <w:rsid w:val="002942BB"/>
    <w:rsid w:val="002E25AC"/>
    <w:rsid w:val="003050EB"/>
    <w:rsid w:val="00307446"/>
    <w:rsid w:val="0032517A"/>
    <w:rsid w:val="003521FF"/>
    <w:rsid w:val="003A0F85"/>
    <w:rsid w:val="003A2C63"/>
    <w:rsid w:val="00414634"/>
    <w:rsid w:val="00443DEA"/>
    <w:rsid w:val="00444A27"/>
    <w:rsid w:val="004606F8"/>
    <w:rsid w:val="004613AA"/>
    <w:rsid w:val="00473534"/>
    <w:rsid w:val="004752C0"/>
    <w:rsid w:val="004E2FD6"/>
    <w:rsid w:val="00501717"/>
    <w:rsid w:val="0051240C"/>
    <w:rsid w:val="00536E32"/>
    <w:rsid w:val="00541E61"/>
    <w:rsid w:val="00546545"/>
    <w:rsid w:val="00560F7E"/>
    <w:rsid w:val="005776C0"/>
    <w:rsid w:val="005A6DB0"/>
    <w:rsid w:val="005F7126"/>
    <w:rsid w:val="00602C34"/>
    <w:rsid w:val="006031DA"/>
    <w:rsid w:val="00603AFE"/>
    <w:rsid w:val="00605309"/>
    <w:rsid w:val="0060673A"/>
    <w:rsid w:val="006413E2"/>
    <w:rsid w:val="00642CEC"/>
    <w:rsid w:val="00645885"/>
    <w:rsid w:val="006472B4"/>
    <w:rsid w:val="00647FCF"/>
    <w:rsid w:val="00661406"/>
    <w:rsid w:val="00670056"/>
    <w:rsid w:val="006861E4"/>
    <w:rsid w:val="00691BFF"/>
    <w:rsid w:val="006A7CCE"/>
    <w:rsid w:val="006B65A1"/>
    <w:rsid w:val="006E5193"/>
    <w:rsid w:val="006E609F"/>
    <w:rsid w:val="00730071"/>
    <w:rsid w:val="00771324"/>
    <w:rsid w:val="007717ED"/>
    <w:rsid w:val="007875AE"/>
    <w:rsid w:val="00795F78"/>
    <w:rsid w:val="007A47C4"/>
    <w:rsid w:val="007C3F9B"/>
    <w:rsid w:val="007E5BFA"/>
    <w:rsid w:val="007F0265"/>
    <w:rsid w:val="007F143B"/>
    <w:rsid w:val="008029E4"/>
    <w:rsid w:val="00805544"/>
    <w:rsid w:val="00811729"/>
    <w:rsid w:val="0085102F"/>
    <w:rsid w:val="00851094"/>
    <w:rsid w:val="00872D06"/>
    <w:rsid w:val="00892036"/>
    <w:rsid w:val="008A1AA9"/>
    <w:rsid w:val="008C1C71"/>
    <w:rsid w:val="008C2171"/>
    <w:rsid w:val="008C2BC9"/>
    <w:rsid w:val="008E2806"/>
    <w:rsid w:val="008E4818"/>
    <w:rsid w:val="00917855"/>
    <w:rsid w:val="00921530"/>
    <w:rsid w:val="00933819"/>
    <w:rsid w:val="009354C0"/>
    <w:rsid w:val="00950184"/>
    <w:rsid w:val="00986FBB"/>
    <w:rsid w:val="00991E29"/>
    <w:rsid w:val="009A34FB"/>
    <w:rsid w:val="009B4BBD"/>
    <w:rsid w:val="009F6CF1"/>
    <w:rsid w:val="00A145C9"/>
    <w:rsid w:val="00A22137"/>
    <w:rsid w:val="00A231BA"/>
    <w:rsid w:val="00A623B0"/>
    <w:rsid w:val="00B018C6"/>
    <w:rsid w:val="00B122F0"/>
    <w:rsid w:val="00B223E8"/>
    <w:rsid w:val="00B47681"/>
    <w:rsid w:val="00B54395"/>
    <w:rsid w:val="00B863C3"/>
    <w:rsid w:val="00BA1A5A"/>
    <w:rsid w:val="00BC12EA"/>
    <w:rsid w:val="00BE0EF5"/>
    <w:rsid w:val="00BE5B12"/>
    <w:rsid w:val="00BF0E0F"/>
    <w:rsid w:val="00C02F79"/>
    <w:rsid w:val="00C11FA6"/>
    <w:rsid w:val="00C23E78"/>
    <w:rsid w:val="00C3233E"/>
    <w:rsid w:val="00C32970"/>
    <w:rsid w:val="00C34F95"/>
    <w:rsid w:val="00C57497"/>
    <w:rsid w:val="00C72C6D"/>
    <w:rsid w:val="00C7412C"/>
    <w:rsid w:val="00CA4975"/>
    <w:rsid w:val="00CD5626"/>
    <w:rsid w:val="00CE1D0F"/>
    <w:rsid w:val="00CF069E"/>
    <w:rsid w:val="00CF0B2D"/>
    <w:rsid w:val="00D231E4"/>
    <w:rsid w:val="00D32420"/>
    <w:rsid w:val="00D860C8"/>
    <w:rsid w:val="00D861E9"/>
    <w:rsid w:val="00D8699C"/>
    <w:rsid w:val="00D87E42"/>
    <w:rsid w:val="00DB06B3"/>
    <w:rsid w:val="00DB1451"/>
    <w:rsid w:val="00DB6966"/>
    <w:rsid w:val="00DC37B9"/>
    <w:rsid w:val="00DE7A31"/>
    <w:rsid w:val="00E05821"/>
    <w:rsid w:val="00E11DE5"/>
    <w:rsid w:val="00E15917"/>
    <w:rsid w:val="00E16F6D"/>
    <w:rsid w:val="00E305D5"/>
    <w:rsid w:val="00E45667"/>
    <w:rsid w:val="00E60B3A"/>
    <w:rsid w:val="00E61F33"/>
    <w:rsid w:val="00E624E1"/>
    <w:rsid w:val="00E74C69"/>
    <w:rsid w:val="00E82A8C"/>
    <w:rsid w:val="00EA2140"/>
    <w:rsid w:val="00EF3159"/>
    <w:rsid w:val="00EF4D06"/>
    <w:rsid w:val="00F16E11"/>
    <w:rsid w:val="00F221F6"/>
    <w:rsid w:val="00F27488"/>
    <w:rsid w:val="00F44235"/>
    <w:rsid w:val="00F86224"/>
    <w:rsid w:val="00FB36D9"/>
    <w:rsid w:val="00FC1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D940"/>
  <w15:chartTrackingRefBased/>
  <w15:docId w15:val="{14DBD2C3-E6DB-4604-82CD-6040C2CA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59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0.bin"/><Relationship Id="rId50" Type="http://schemas.openxmlformats.org/officeDocument/2006/relationships/image" Target="media/image25.wmf"/><Relationship Id="rId55" Type="http://schemas.openxmlformats.org/officeDocument/2006/relationships/oleObject" Target="embeddings/oleObject24.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wmf"/><Relationship Id="rId40" Type="http://schemas.openxmlformats.org/officeDocument/2006/relationships/oleObject" Target="embeddings/oleObject17.bin"/><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theme" Target="theme/theme1.xml"/><Relationship Id="rId5" Type="http://schemas.openxmlformats.org/officeDocument/2006/relationships/image" Target="media/image1.wmf"/><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image" Target="media/image21.png"/><Relationship Id="rId48" Type="http://schemas.openxmlformats.org/officeDocument/2006/relationships/image" Target="media/image24.wmf"/><Relationship Id="rId56" Type="http://schemas.openxmlformats.org/officeDocument/2006/relationships/image" Target="media/image28.png"/><Relationship Id="rId8" Type="http://schemas.openxmlformats.org/officeDocument/2006/relationships/oleObject" Target="embeddings/oleObject2.bin"/><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image" Target="media/image23.wmf"/><Relationship Id="rId20" Type="http://schemas.openxmlformats.org/officeDocument/2006/relationships/oleObject" Target="embeddings/oleObject7.bin"/><Relationship Id="rId41" Type="http://schemas.openxmlformats.org/officeDocument/2006/relationships/image" Target="media/image20.wmf"/><Relationship Id="rId54" Type="http://schemas.openxmlformats.org/officeDocument/2006/relationships/image" Target="media/image27.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1.bin"/><Relationship Id="rId57" Type="http://schemas.openxmlformats.org/officeDocument/2006/relationships/fontTable" Target="fontTable.xml"/><Relationship Id="rId10" Type="http://schemas.openxmlformats.org/officeDocument/2006/relationships/image" Target="media/image4.png"/><Relationship Id="rId31" Type="http://schemas.openxmlformats.org/officeDocument/2006/relationships/image" Target="media/image15.wmf"/><Relationship Id="rId44" Type="http://schemas.openxmlformats.org/officeDocument/2006/relationships/image" Target="media/image22.wmf"/><Relationship Id="rId52"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2633</TotalTime>
  <Pages>8</Pages>
  <Words>1621</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75</cp:revision>
  <dcterms:created xsi:type="dcterms:W3CDTF">2022-12-16T20:01:00Z</dcterms:created>
  <dcterms:modified xsi:type="dcterms:W3CDTF">2023-04-23T15:23:00Z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